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96ADC" w14:textId="77777777" w:rsidR="00E153A5" w:rsidRDefault="00E153A5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en-GB"/>
        </w:rPr>
        <w:drawing>
          <wp:inline distT="0" distB="0" distL="0" distR="0" wp14:anchorId="60E5F3B9" wp14:editId="70C3DA31">
            <wp:extent cx="5722620" cy="929005"/>
            <wp:effectExtent l="0" t="0" r="0" b="0"/>
            <wp:docPr id="1" name="Picture 1" descr="../Dropbox/Portal/Graphics/Office/2017%20Briefing%20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opbox/Portal/Graphics/Office/2017%20Briefing%20Head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524AB" w14:textId="1BB72F9B" w:rsidR="00BF116F" w:rsidRDefault="00E32EA3" w:rsidP="005F6016">
      <w:pPr>
        <w:rPr>
          <w:rFonts w:ascii="Calibri" w:hAnsi="Calibri"/>
          <w:b/>
          <w:color w:val="404040" w:themeColor="text1" w:themeTint="BF"/>
          <w:sz w:val="36"/>
          <w:szCs w:val="36"/>
        </w:rPr>
      </w:pPr>
      <w:r>
        <w:rPr>
          <w:rFonts w:ascii="Calibri" w:hAnsi="Calibri"/>
          <w:b/>
          <w:color w:val="404040" w:themeColor="text1" w:themeTint="BF"/>
          <w:sz w:val="36"/>
          <w:szCs w:val="36"/>
        </w:rPr>
        <w:t xml:space="preserve">Job Description: </w:t>
      </w:r>
      <w:r w:rsidR="003F536C">
        <w:rPr>
          <w:rFonts w:ascii="Calibri" w:hAnsi="Calibri"/>
          <w:b/>
          <w:color w:val="404040" w:themeColor="text1" w:themeTint="BF"/>
          <w:sz w:val="36"/>
          <w:szCs w:val="36"/>
        </w:rPr>
        <w:t>Children’s Care</w:t>
      </w:r>
      <w:r w:rsidR="00A54993">
        <w:rPr>
          <w:rFonts w:ascii="Calibri" w:hAnsi="Calibri"/>
          <w:b/>
          <w:color w:val="404040" w:themeColor="text1" w:themeTint="BF"/>
          <w:sz w:val="36"/>
          <w:szCs w:val="36"/>
        </w:rPr>
        <w:t>,</w:t>
      </w:r>
      <w:r w:rsidR="003F536C">
        <w:rPr>
          <w:rFonts w:ascii="Calibri" w:hAnsi="Calibri"/>
          <w:b/>
          <w:color w:val="404040" w:themeColor="text1" w:themeTint="BF"/>
          <w:sz w:val="36"/>
          <w:szCs w:val="36"/>
        </w:rPr>
        <w:t xml:space="preserve"> Play and Learning &amp; Development Assessor.</w:t>
      </w:r>
    </w:p>
    <w:p w14:paraId="6F3C72D5" w14:textId="047DED9D" w:rsidR="003E737F" w:rsidRDefault="003E737F" w:rsidP="005F6016">
      <w:pPr>
        <w:pStyle w:val="PortalHeading1"/>
        <w:jc w:val="left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Line Manager/responsible to:</w:t>
      </w:r>
      <w:r>
        <w:rPr>
          <w:sz w:val="24"/>
          <w:szCs w:val="24"/>
        </w:rPr>
        <w:t xml:space="preserve"> </w:t>
      </w:r>
      <w:r w:rsidR="008C0CC1">
        <w:rPr>
          <w:b w:val="0"/>
          <w:color w:val="auto"/>
          <w:sz w:val="24"/>
          <w:szCs w:val="24"/>
        </w:rPr>
        <w:t>Contracts</w:t>
      </w:r>
      <w:r w:rsidR="00602750">
        <w:rPr>
          <w:b w:val="0"/>
          <w:color w:val="auto"/>
          <w:sz w:val="24"/>
          <w:szCs w:val="24"/>
        </w:rPr>
        <w:t xml:space="preserve"> Manager</w:t>
      </w:r>
      <w:r>
        <w:rPr>
          <w:b w:val="0"/>
          <w:color w:val="auto"/>
          <w:sz w:val="24"/>
          <w:szCs w:val="24"/>
        </w:rPr>
        <w:t xml:space="preserve"> </w:t>
      </w:r>
      <w:r w:rsidR="005D54D5">
        <w:rPr>
          <w:b w:val="0"/>
          <w:color w:val="auto"/>
          <w:sz w:val="24"/>
          <w:szCs w:val="24"/>
        </w:rPr>
        <w:t>and allocated I</w:t>
      </w:r>
      <w:r w:rsidR="00EC15BE">
        <w:rPr>
          <w:b w:val="0"/>
          <w:color w:val="auto"/>
          <w:sz w:val="24"/>
          <w:szCs w:val="24"/>
        </w:rPr>
        <w:t xml:space="preserve">nternal </w:t>
      </w:r>
      <w:r w:rsidR="005D54D5">
        <w:rPr>
          <w:b w:val="0"/>
          <w:color w:val="auto"/>
          <w:sz w:val="24"/>
          <w:szCs w:val="24"/>
        </w:rPr>
        <w:t>Q</w:t>
      </w:r>
      <w:r w:rsidR="00EC15BE">
        <w:rPr>
          <w:b w:val="0"/>
          <w:color w:val="auto"/>
          <w:sz w:val="24"/>
          <w:szCs w:val="24"/>
        </w:rPr>
        <w:t xml:space="preserve">uality </w:t>
      </w:r>
      <w:r w:rsidR="005D54D5">
        <w:rPr>
          <w:b w:val="0"/>
          <w:color w:val="auto"/>
          <w:sz w:val="24"/>
          <w:szCs w:val="24"/>
        </w:rPr>
        <w:t>A</w:t>
      </w:r>
      <w:r w:rsidR="00EC15BE">
        <w:rPr>
          <w:b w:val="0"/>
          <w:color w:val="auto"/>
          <w:sz w:val="24"/>
          <w:szCs w:val="24"/>
        </w:rPr>
        <w:t>ssurer</w:t>
      </w:r>
      <w:r w:rsidR="00715AE8">
        <w:rPr>
          <w:b w:val="0"/>
          <w:color w:val="auto"/>
          <w:sz w:val="24"/>
          <w:szCs w:val="24"/>
        </w:rPr>
        <w:t xml:space="preserve"> (IQA)</w:t>
      </w:r>
    </w:p>
    <w:p w14:paraId="7D0E56DA" w14:textId="77777777" w:rsidR="003E737F" w:rsidRDefault="003E737F" w:rsidP="005F6016">
      <w:pPr>
        <w:pStyle w:val="PortalHeading1"/>
        <w:jc w:val="left"/>
        <w:rPr>
          <w:b w:val="0"/>
          <w:sz w:val="24"/>
          <w:szCs w:val="24"/>
        </w:rPr>
      </w:pPr>
      <w:r>
        <w:rPr>
          <w:color w:val="auto"/>
          <w:sz w:val="24"/>
          <w:szCs w:val="24"/>
        </w:rPr>
        <w:t xml:space="preserve">Responsible for: </w:t>
      </w:r>
      <w:r>
        <w:rPr>
          <w:b w:val="0"/>
          <w:color w:val="auto"/>
          <w:sz w:val="24"/>
          <w:szCs w:val="24"/>
        </w:rPr>
        <w:t>NA</w:t>
      </w:r>
    </w:p>
    <w:p w14:paraId="311CC814" w14:textId="122CCC99" w:rsidR="003E737F" w:rsidRPr="00FE6B3B" w:rsidRDefault="003E737F" w:rsidP="005F6016">
      <w:pPr>
        <w:pStyle w:val="PortalHeading1"/>
        <w:jc w:val="left"/>
        <w:rPr>
          <w:b w:val="0"/>
          <w:color w:val="FF0000"/>
          <w:sz w:val="24"/>
          <w:szCs w:val="24"/>
        </w:rPr>
      </w:pPr>
      <w:r w:rsidRPr="000711F7">
        <w:rPr>
          <w:color w:val="auto"/>
          <w:sz w:val="24"/>
          <w:szCs w:val="24"/>
        </w:rPr>
        <w:t xml:space="preserve">Salary banding: </w:t>
      </w:r>
      <w:r w:rsidR="003052F8" w:rsidRPr="00FC2636">
        <w:rPr>
          <w:b w:val="0"/>
          <w:color w:val="auto"/>
          <w:sz w:val="24"/>
          <w:szCs w:val="24"/>
        </w:rPr>
        <w:t>£2</w:t>
      </w:r>
      <w:r w:rsidR="00FB047F">
        <w:rPr>
          <w:b w:val="0"/>
          <w:color w:val="auto"/>
          <w:sz w:val="24"/>
          <w:szCs w:val="24"/>
        </w:rPr>
        <w:t>1</w:t>
      </w:r>
      <w:r w:rsidR="003052F8" w:rsidRPr="00FC2636">
        <w:rPr>
          <w:b w:val="0"/>
          <w:color w:val="auto"/>
          <w:sz w:val="24"/>
          <w:szCs w:val="24"/>
        </w:rPr>
        <w:t>,000 to £</w:t>
      </w:r>
      <w:r w:rsidR="005960B3" w:rsidRPr="00FC2636">
        <w:rPr>
          <w:b w:val="0"/>
          <w:color w:val="auto"/>
          <w:sz w:val="24"/>
          <w:szCs w:val="24"/>
        </w:rPr>
        <w:t>2</w:t>
      </w:r>
      <w:r w:rsidR="00FB047F">
        <w:rPr>
          <w:b w:val="0"/>
          <w:color w:val="auto"/>
          <w:sz w:val="24"/>
          <w:szCs w:val="24"/>
        </w:rPr>
        <w:t>5</w:t>
      </w:r>
      <w:r w:rsidR="003052F8" w:rsidRPr="00FC2636">
        <w:rPr>
          <w:b w:val="0"/>
          <w:color w:val="auto"/>
          <w:sz w:val="24"/>
          <w:szCs w:val="24"/>
        </w:rPr>
        <w:t>,000 PA</w:t>
      </w:r>
      <w:r w:rsidR="00FC2636" w:rsidRPr="00FC2636">
        <w:rPr>
          <w:b w:val="0"/>
          <w:color w:val="auto"/>
          <w:sz w:val="24"/>
          <w:szCs w:val="24"/>
        </w:rPr>
        <w:t>,</w:t>
      </w:r>
      <w:r w:rsidR="00017515" w:rsidRPr="00FC2636">
        <w:rPr>
          <w:b w:val="0"/>
          <w:color w:val="auto"/>
          <w:sz w:val="24"/>
          <w:szCs w:val="24"/>
        </w:rPr>
        <w:t xml:space="preserve"> PLUS </w:t>
      </w:r>
      <w:r w:rsidR="0000440F" w:rsidRPr="00FC2636">
        <w:rPr>
          <w:b w:val="0"/>
          <w:color w:val="auto"/>
          <w:sz w:val="24"/>
          <w:szCs w:val="24"/>
        </w:rPr>
        <w:t>additional £500 for delivery via Welsh language.</w:t>
      </w:r>
    </w:p>
    <w:p w14:paraId="383482D4" w14:textId="77777777" w:rsidR="00395E99" w:rsidRDefault="00607F91" w:rsidP="00BF116F">
      <w:pPr>
        <w:pStyle w:val="PortalHeading1"/>
      </w:pPr>
      <w:r w:rsidRPr="0033568F">
        <w:t>Summary of Role</w:t>
      </w:r>
    </w:p>
    <w:p w14:paraId="518BD781" w14:textId="77777777" w:rsidR="000D4DE0" w:rsidRPr="00D76511" w:rsidRDefault="000D4DE0" w:rsidP="00395E99">
      <w:pPr>
        <w:spacing w:after="120"/>
        <w:rPr>
          <w:rFonts w:ascii="Calibri" w:hAnsi="Calibri" w:cs="Tahoma"/>
          <w:sz w:val="20"/>
          <w:szCs w:val="20"/>
        </w:rPr>
      </w:pPr>
    </w:p>
    <w:p w14:paraId="7CD75D8E" w14:textId="3E8B8EB5" w:rsidR="00FB2AAB" w:rsidRPr="00D76511" w:rsidRDefault="000D4DE0" w:rsidP="00395E99">
      <w:pPr>
        <w:spacing w:after="120"/>
        <w:rPr>
          <w:rFonts w:ascii="Calibri" w:hAnsi="Calibri" w:cs="Tahoma"/>
          <w:sz w:val="20"/>
          <w:szCs w:val="20"/>
        </w:rPr>
      </w:pPr>
      <w:r w:rsidRPr="00D76511">
        <w:rPr>
          <w:rFonts w:ascii="Calibri" w:hAnsi="Calibri" w:cs="Tahoma"/>
          <w:sz w:val="20"/>
          <w:szCs w:val="20"/>
        </w:rPr>
        <w:t>To support a</w:t>
      </w:r>
      <w:r w:rsidR="005D54D5" w:rsidRPr="00D76511">
        <w:rPr>
          <w:rFonts w:ascii="Calibri" w:hAnsi="Calibri" w:cs="Tahoma"/>
          <w:sz w:val="20"/>
          <w:szCs w:val="20"/>
        </w:rPr>
        <w:t xml:space="preserve">n active </w:t>
      </w:r>
      <w:r w:rsidRPr="00D76511">
        <w:rPr>
          <w:rFonts w:ascii="Calibri" w:hAnsi="Calibri" w:cs="Tahoma"/>
          <w:sz w:val="20"/>
          <w:szCs w:val="20"/>
        </w:rPr>
        <w:t>caseload of</w:t>
      </w:r>
      <w:r w:rsidR="00365221" w:rsidRPr="00D76511">
        <w:rPr>
          <w:rFonts w:ascii="Calibri" w:hAnsi="Calibri" w:cs="Tahoma"/>
          <w:sz w:val="20"/>
          <w:szCs w:val="20"/>
        </w:rPr>
        <w:t xml:space="preserve"> </w:t>
      </w:r>
      <w:r w:rsidR="005D54D5" w:rsidRPr="00D76511">
        <w:rPr>
          <w:rFonts w:ascii="Calibri" w:hAnsi="Calibri" w:cs="Tahoma"/>
          <w:sz w:val="20"/>
          <w:szCs w:val="20"/>
        </w:rPr>
        <w:t xml:space="preserve">up to </w:t>
      </w:r>
      <w:r w:rsidR="00365221" w:rsidRPr="00D76511">
        <w:rPr>
          <w:rFonts w:ascii="Calibri" w:hAnsi="Calibri" w:cs="Tahoma"/>
          <w:sz w:val="20"/>
          <w:szCs w:val="20"/>
        </w:rPr>
        <w:t>37</w:t>
      </w:r>
      <w:r w:rsidRPr="00D76511">
        <w:rPr>
          <w:rFonts w:ascii="Calibri" w:hAnsi="Calibri" w:cs="Tahoma"/>
          <w:sz w:val="20"/>
          <w:szCs w:val="20"/>
        </w:rPr>
        <w:t xml:space="preserve"> learners to achieve all required </w:t>
      </w:r>
      <w:r w:rsidR="00FB2AAB" w:rsidRPr="00D76511">
        <w:rPr>
          <w:rFonts w:ascii="Calibri" w:hAnsi="Calibri" w:cs="Tahoma"/>
          <w:sz w:val="20"/>
          <w:szCs w:val="20"/>
        </w:rPr>
        <w:t>framework components th</w:t>
      </w:r>
      <w:r w:rsidR="00F7269A" w:rsidRPr="00D76511">
        <w:rPr>
          <w:rFonts w:ascii="Calibri" w:hAnsi="Calibri" w:cs="Tahoma"/>
          <w:sz w:val="20"/>
          <w:szCs w:val="20"/>
        </w:rPr>
        <w:t>r</w:t>
      </w:r>
      <w:r w:rsidR="00FB2AAB" w:rsidRPr="00D76511">
        <w:rPr>
          <w:rFonts w:ascii="Calibri" w:hAnsi="Calibri" w:cs="Tahoma"/>
          <w:sz w:val="20"/>
          <w:szCs w:val="20"/>
        </w:rPr>
        <w:t>ough a mentoring, facilitative approach in a timely and efficient manner.</w:t>
      </w:r>
    </w:p>
    <w:p w14:paraId="6D2D0DCA" w14:textId="22821345" w:rsidR="000D4DE0" w:rsidRPr="00D76511" w:rsidRDefault="00FB2AAB" w:rsidP="00395E99">
      <w:pPr>
        <w:spacing w:after="120"/>
        <w:rPr>
          <w:rFonts w:ascii="Calibri" w:hAnsi="Calibri" w:cs="Tahoma"/>
          <w:sz w:val="20"/>
          <w:szCs w:val="20"/>
        </w:rPr>
      </w:pPr>
      <w:r w:rsidRPr="00D76511">
        <w:rPr>
          <w:rFonts w:ascii="Calibri" w:hAnsi="Calibri" w:cs="Tahoma"/>
          <w:sz w:val="20"/>
          <w:szCs w:val="20"/>
        </w:rPr>
        <w:t>To provide an excellent level of customer service to all learners, mentors, employers and other relevant stakeholders.</w:t>
      </w:r>
    </w:p>
    <w:p w14:paraId="7476EC4D" w14:textId="77777777" w:rsidR="00686408" w:rsidRPr="00D76511" w:rsidRDefault="00686408" w:rsidP="00395E99">
      <w:pPr>
        <w:spacing w:after="120"/>
        <w:rPr>
          <w:rFonts w:ascii="Calibri" w:hAnsi="Calibri" w:cs="Tahoma"/>
          <w:sz w:val="20"/>
          <w:szCs w:val="20"/>
        </w:rPr>
      </w:pPr>
      <w:r w:rsidRPr="00D76511">
        <w:rPr>
          <w:rFonts w:ascii="Calibri" w:hAnsi="Calibri" w:cs="Tahoma"/>
          <w:sz w:val="20"/>
          <w:szCs w:val="20"/>
        </w:rPr>
        <w:t xml:space="preserve">Actively engage with learners on a monthly </w:t>
      </w:r>
      <w:r w:rsidR="00263FAF" w:rsidRPr="00D76511">
        <w:rPr>
          <w:rFonts w:ascii="Calibri" w:hAnsi="Calibri" w:cs="Tahoma"/>
          <w:sz w:val="20"/>
          <w:szCs w:val="20"/>
        </w:rPr>
        <w:t>basis to review progress, assess</w:t>
      </w:r>
      <w:r w:rsidRPr="00D76511">
        <w:rPr>
          <w:rFonts w:ascii="Calibri" w:hAnsi="Calibri" w:cs="Tahoma"/>
          <w:sz w:val="20"/>
          <w:szCs w:val="20"/>
        </w:rPr>
        <w:t xml:space="preserve"> and feedback on </w:t>
      </w:r>
      <w:r w:rsidR="00263FAF" w:rsidRPr="00D76511">
        <w:rPr>
          <w:rFonts w:ascii="Calibri" w:hAnsi="Calibri" w:cs="Tahoma"/>
          <w:sz w:val="20"/>
          <w:szCs w:val="20"/>
        </w:rPr>
        <w:t>learn</w:t>
      </w:r>
      <w:r w:rsidR="00DF15DE" w:rsidRPr="00D76511">
        <w:rPr>
          <w:rFonts w:ascii="Calibri" w:hAnsi="Calibri" w:cs="Tahoma"/>
          <w:sz w:val="20"/>
          <w:szCs w:val="20"/>
        </w:rPr>
        <w:t>er</w:t>
      </w:r>
      <w:r w:rsidR="00263FAF" w:rsidRPr="00D76511">
        <w:rPr>
          <w:rFonts w:ascii="Calibri" w:hAnsi="Calibri" w:cs="Tahoma"/>
          <w:sz w:val="20"/>
          <w:szCs w:val="20"/>
        </w:rPr>
        <w:t xml:space="preserve"> </w:t>
      </w:r>
      <w:r w:rsidRPr="00D76511">
        <w:rPr>
          <w:rFonts w:ascii="Calibri" w:hAnsi="Calibri" w:cs="Tahoma"/>
          <w:sz w:val="20"/>
          <w:szCs w:val="20"/>
        </w:rPr>
        <w:t xml:space="preserve">work and plan assessment activities.   </w:t>
      </w:r>
    </w:p>
    <w:p w14:paraId="115431CC" w14:textId="77777777" w:rsidR="00263FAF" w:rsidRPr="00D76511" w:rsidRDefault="00263FAF" w:rsidP="00395E99">
      <w:pPr>
        <w:spacing w:after="120"/>
        <w:rPr>
          <w:rFonts w:ascii="Calibri" w:hAnsi="Calibri" w:cs="Tahoma"/>
          <w:sz w:val="20"/>
          <w:szCs w:val="20"/>
        </w:rPr>
      </w:pPr>
      <w:r w:rsidRPr="00D76511">
        <w:rPr>
          <w:rFonts w:ascii="Calibri" w:hAnsi="Calibri" w:cs="Tahoma"/>
          <w:sz w:val="20"/>
          <w:szCs w:val="20"/>
        </w:rPr>
        <w:t xml:space="preserve">Ensure work practices and performance conforms to Welsh Government, Lead Provider and company specification. </w:t>
      </w:r>
    </w:p>
    <w:p w14:paraId="66072145" w14:textId="0761678F" w:rsidR="00077BB0" w:rsidRPr="00D76511" w:rsidRDefault="00F7269A" w:rsidP="00395E99">
      <w:pPr>
        <w:spacing w:after="120"/>
        <w:rPr>
          <w:rFonts w:ascii="Calibri" w:hAnsi="Calibri" w:cs="Tahoma"/>
          <w:sz w:val="20"/>
          <w:szCs w:val="20"/>
        </w:rPr>
      </w:pPr>
      <w:r w:rsidRPr="00D76511">
        <w:rPr>
          <w:rFonts w:ascii="Calibri" w:hAnsi="Calibri"/>
          <w:sz w:val="20"/>
          <w:szCs w:val="20"/>
        </w:rPr>
        <w:t xml:space="preserve">Embrace Continuous Professional Development in order to develop </w:t>
      </w:r>
      <w:r w:rsidR="0089471A">
        <w:rPr>
          <w:rFonts w:ascii="Calibri" w:hAnsi="Calibri"/>
          <w:sz w:val="20"/>
          <w:szCs w:val="20"/>
        </w:rPr>
        <w:t>route</w:t>
      </w:r>
      <w:r w:rsidRPr="00D76511">
        <w:rPr>
          <w:rFonts w:ascii="Calibri" w:hAnsi="Calibri"/>
          <w:sz w:val="20"/>
          <w:szCs w:val="20"/>
        </w:rPr>
        <w:t xml:space="preserve"> knowledge and competence by research and involvement in learning and development opportunities</w:t>
      </w:r>
      <w:r w:rsidR="00D76511" w:rsidRPr="00D76511">
        <w:rPr>
          <w:rFonts w:ascii="Calibri" w:hAnsi="Calibri"/>
          <w:sz w:val="20"/>
          <w:szCs w:val="20"/>
        </w:rPr>
        <w:t>.</w:t>
      </w:r>
      <w:r w:rsidR="00395E99" w:rsidRPr="00D76511">
        <w:rPr>
          <w:rFonts w:ascii="Calibri" w:hAnsi="Calibri" w:cs="Tahoma"/>
          <w:sz w:val="20"/>
          <w:szCs w:val="20"/>
        </w:rPr>
        <w:t xml:space="preserve"> </w:t>
      </w:r>
    </w:p>
    <w:p w14:paraId="3A943CD1" w14:textId="77777777" w:rsidR="00263FAF" w:rsidRPr="00D76511" w:rsidRDefault="00263FAF" w:rsidP="00395E99">
      <w:pPr>
        <w:spacing w:after="120"/>
        <w:rPr>
          <w:rFonts w:ascii="Calibri" w:hAnsi="Calibri" w:cs="Tahoma"/>
          <w:b/>
          <w:sz w:val="20"/>
          <w:szCs w:val="20"/>
        </w:rPr>
      </w:pPr>
      <w:r w:rsidRPr="00D76511">
        <w:rPr>
          <w:rFonts w:ascii="Calibri" w:hAnsi="Calibri" w:cs="Tahoma"/>
          <w:sz w:val="20"/>
          <w:szCs w:val="20"/>
        </w:rPr>
        <w:t>Positively engage with Portal Training’</w:t>
      </w:r>
      <w:r w:rsidR="00DF15DE" w:rsidRPr="00D76511">
        <w:rPr>
          <w:rFonts w:ascii="Calibri" w:hAnsi="Calibri" w:cs="Tahoma"/>
          <w:sz w:val="20"/>
          <w:szCs w:val="20"/>
        </w:rPr>
        <w:t>s Quality A</w:t>
      </w:r>
      <w:r w:rsidRPr="00D76511">
        <w:rPr>
          <w:rFonts w:ascii="Calibri" w:hAnsi="Calibri" w:cs="Tahoma"/>
          <w:sz w:val="20"/>
          <w:szCs w:val="20"/>
        </w:rPr>
        <w:t xml:space="preserve">ssurance department to ensure outstanding delivery standards and support company evaluative activities. </w:t>
      </w:r>
    </w:p>
    <w:p w14:paraId="63EDF537" w14:textId="77777777" w:rsidR="008B41CC" w:rsidRPr="008B41CC" w:rsidRDefault="008B41CC" w:rsidP="008B41CC">
      <w:pPr>
        <w:pStyle w:val="PortalHeading1"/>
        <w:rPr>
          <w:shd w:val="clear" w:color="auto" w:fill="FFFFFF"/>
        </w:rPr>
      </w:pPr>
      <w:r>
        <w:rPr>
          <w:shd w:val="clear" w:color="auto" w:fill="FFFFFF"/>
        </w:rPr>
        <w:t>Delivery</w:t>
      </w:r>
    </w:p>
    <w:p w14:paraId="3AE53046" w14:textId="43E301C3" w:rsidR="00D93595" w:rsidRPr="00D93595" w:rsidRDefault="008B41CC" w:rsidP="00D93595">
      <w:pPr>
        <w:pStyle w:val="ListParagraph"/>
        <w:numPr>
          <w:ilvl w:val="0"/>
          <w:numId w:val="24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 w:rsidRPr="00D93595">
        <w:rPr>
          <w:rFonts w:ascii="Calibri" w:hAnsi="Calibri" w:cs="Tahoma"/>
          <w:color w:val="000000" w:themeColor="text1"/>
          <w:sz w:val="20"/>
          <w:szCs w:val="20"/>
        </w:rPr>
        <w:t>Deliver Induction sessions to provide an overview of the Framework which includes</w:t>
      </w:r>
      <w:r w:rsidR="00770A1C">
        <w:rPr>
          <w:rFonts w:ascii="Calibri" w:hAnsi="Calibri" w:cs="Tahoma"/>
          <w:color w:val="000000" w:themeColor="text1"/>
          <w:sz w:val="20"/>
          <w:szCs w:val="20"/>
        </w:rPr>
        <w:t xml:space="preserve"> Children’s </w:t>
      </w:r>
      <w:r w:rsidR="00EF55D2">
        <w:rPr>
          <w:rFonts w:ascii="Calibri" w:hAnsi="Calibri" w:cs="Tahoma"/>
          <w:color w:val="000000" w:themeColor="text1"/>
          <w:sz w:val="20"/>
          <w:szCs w:val="20"/>
        </w:rPr>
        <w:t>C</w:t>
      </w:r>
      <w:r w:rsidR="00770A1C">
        <w:rPr>
          <w:rFonts w:ascii="Calibri" w:hAnsi="Calibri" w:cs="Tahoma"/>
          <w:color w:val="000000" w:themeColor="text1"/>
          <w:sz w:val="20"/>
          <w:szCs w:val="20"/>
        </w:rPr>
        <w:t xml:space="preserve">are, Play </w:t>
      </w:r>
      <w:r w:rsidR="00EF55D2">
        <w:rPr>
          <w:rFonts w:ascii="Calibri" w:hAnsi="Calibri" w:cs="Tahoma"/>
          <w:color w:val="000000" w:themeColor="text1"/>
          <w:sz w:val="20"/>
          <w:szCs w:val="20"/>
        </w:rPr>
        <w:t>and Learning &amp; Development QCF</w:t>
      </w:r>
      <w:r w:rsidRPr="00D93595">
        <w:rPr>
          <w:rFonts w:ascii="Calibri" w:hAnsi="Calibri" w:cs="Tahoma"/>
          <w:color w:val="000000" w:themeColor="text1"/>
          <w:sz w:val="20"/>
          <w:szCs w:val="20"/>
        </w:rPr>
        <w:t xml:space="preserve"> </w:t>
      </w:r>
      <w:r w:rsidR="00EF55D2">
        <w:rPr>
          <w:rFonts w:ascii="Calibri" w:hAnsi="Calibri" w:cs="Tahoma"/>
          <w:color w:val="000000" w:themeColor="text1"/>
          <w:sz w:val="20"/>
          <w:szCs w:val="20"/>
        </w:rPr>
        <w:t>Levels 2 &amp; 3</w:t>
      </w:r>
      <w:r w:rsidRPr="00D93595">
        <w:rPr>
          <w:rFonts w:ascii="Calibri" w:hAnsi="Calibri" w:cs="Tahoma"/>
          <w:color w:val="000000" w:themeColor="text1"/>
          <w:sz w:val="20"/>
          <w:szCs w:val="20"/>
        </w:rPr>
        <w:t xml:space="preserve"> and Essential Skills controlled tasks and assessments in Application of Number, Communication and Digital Literacy</w:t>
      </w:r>
      <w:r w:rsidR="00D76511">
        <w:rPr>
          <w:rFonts w:ascii="Calibri" w:hAnsi="Calibri" w:cs="Tahoma"/>
          <w:color w:val="000000" w:themeColor="text1"/>
          <w:sz w:val="20"/>
          <w:szCs w:val="20"/>
        </w:rPr>
        <w:t>.</w:t>
      </w:r>
    </w:p>
    <w:p w14:paraId="0579B97C" w14:textId="6FB2485D" w:rsidR="004E09B0" w:rsidRDefault="004E09B0" w:rsidP="008B41CC">
      <w:pPr>
        <w:pStyle w:val="ListParagraph"/>
        <w:numPr>
          <w:ilvl w:val="0"/>
          <w:numId w:val="24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 w:cs="Tahoma"/>
          <w:color w:val="000000" w:themeColor="text1"/>
          <w:sz w:val="20"/>
          <w:szCs w:val="20"/>
        </w:rPr>
        <w:t>Support learners to progress through the learning journey th</w:t>
      </w:r>
      <w:r w:rsidR="00602750">
        <w:rPr>
          <w:rFonts w:ascii="Calibri" w:hAnsi="Calibri" w:cs="Tahoma"/>
          <w:color w:val="000000" w:themeColor="text1"/>
          <w:sz w:val="20"/>
          <w:szCs w:val="20"/>
        </w:rPr>
        <w:t>r</w:t>
      </w:r>
      <w:r>
        <w:rPr>
          <w:rFonts w:ascii="Calibri" w:hAnsi="Calibri" w:cs="Tahoma"/>
          <w:color w:val="000000" w:themeColor="text1"/>
          <w:sz w:val="20"/>
          <w:szCs w:val="20"/>
        </w:rPr>
        <w:t>ough effective assessment planning</w:t>
      </w:r>
      <w:r w:rsidR="00F7269A">
        <w:rPr>
          <w:rFonts w:ascii="Calibri" w:hAnsi="Calibri" w:cs="Tahoma"/>
          <w:color w:val="000000" w:themeColor="text1"/>
          <w:sz w:val="20"/>
          <w:szCs w:val="20"/>
        </w:rPr>
        <w:t>, feedback</w:t>
      </w:r>
      <w:r>
        <w:rPr>
          <w:rFonts w:ascii="Calibri" w:hAnsi="Calibri" w:cs="Tahoma"/>
          <w:color w:val="000000" w:themeColor="text1"/>
          <w:sz w:val="20"/>
          <w:szCs w:val="20"/>
        </w:rPr>
        <w:t xml:space="preserve"> and regular learner interaction.</w:t>
      </w:r>
    </w:p>
    <w:p w14:paraId="29CD8B89" w14:textId="30E9C5CE" w:rsidR="005B5742" w:rsidRDefault="00F7269A" w:rsidP="008B41CC">
      <w:pPr>
        <w:pStyle w:val="ListParagraph"/>
        <w:numPr>
          <w:ilvl w:val="0"/>
          <w:numId w:val="24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>
        <w:rPr>
          <w:rFonts w:ascii="Calibri" w:hAnsi="Calibri" w:cs="Tahoma"/>
          <w:color w:val="000000" w:themeColor="text1"/>
          <w:sz w:val="20"/>
          <w:szCs w:val="20"/>
        </w:rPr>
        <w:t>Provide constructive feedback to learners</w:t>
      </w:r>
      <w:r w:rsidR="005B5742">
        <w:rPr>
          <w:rFonts w:ascii="Calibri" w:hAnsi="Calibri" w:cs="Tahoma"/>
          <w:color w:val="000000" w:themeColor="text1"/>
          <w:sz w:val="20"/>
          <w:szCs w:val="20"/>
        </w:rPr>
        <w:t xml:space="preserve"> on</w:t>
      </w:r>
      <w:r w:rsidR="00C27526">
        <w:rPr>
          <w:rFonts w:ascii="Calibri" w:hAnsi="Calibri" w:cs="Tahoma"/>
          <w:color w:val="000000" w:themeColor="text1"/>
          <w:sz w:val="20"/>
          <w:szCs w:val="20"/>
        </w:rPr>
        <w:t xml:space="preserve"> an</w:t>
      </w:r>
      <w:r w:rsidR="005B5742">
        <w:rPr>
          <w:rFonts w:ascii="Calibri" w:hAnsi="Calibri" w:cs="Tahoma"/>
          <w:color w:val="000000" w:themeColor="text1"/>
          <w:sz w:val="20"/>
          <w:szCs w:val="20"/>
        </w:rPr>
        <w:t xml:space="preserve"> ongoing bases to ensure learners progress th</w:t>
      </w:r>
      <w:r w:rsidR="00DF15DE">
        <w:rPr>
          <w:rFonts w:ascii="Calibri" w:hAnsi="Calibri" w:cs="Tahoma"/>
          <w:color w:val="000000" w:themeColor="text1"/>
          <w:sz w:val="20"/>
          <w:szCs w:val="20"/>
        </w:rPr>
        <w:t>r</w:t>
      </w:r>
      <w:r w:rsidR="005B5742">
        <w:rPr>
          <w:rFonts w:ascii="Calibri" w:hAnsi="Calibri" w:cs="Tahoma"/>
          <w:color w:val="000000" w:themeColor="text1"/>
          <w:sz w:val="20"/>
          <w:szCs w:val="20"/>
        </w:rPr>
        <w:t>ough their programme in a timely manner and to en</w:t>
      </w:r>
      <w:r w:rsidR="00DF15DE">
        <w:rPr>
          <w:rFonts w:ascii="Calibri" w:hAnsi="Calibri" w:cs="Tahoma"/>
          <w:color w:val="000000" w:themeColor="text1"/>
          <w:sz w:val="20"/>
          <w:szCs w:val="20"/>
        </w:rPr>
        <w:t xml:space="preserve">sure clarity and understanding </w:t>
      </w:r>
      <w:r w:rsidR="005B5742">
        <w:rPr>
          <w:rFonts w:ascii="Calibri" w:hAnsi="Calibri" w:cs="Tahoma"/>
          <w:color w:val="000000" w:themeColor="text1"/>
          <w:sz w:val="20"/>
          <w:szCs w:val="20"/>
        </w:rPr>
        <w:t>f</w:t>
      </w:r>
      <w:r w:rsidR="00DF15DE">
        <w:rPr>
          <w:rFonts w:ascii="Calibri" w:hAnsi="Calibri" w:cs="Tahoma"/>
          <w:color w:val="000000" w:themeColor="text1"/>
          <w:sz w:val="20"/>
          <w:szCs w:val="20"/>
        </w:rPr>
        <w:t>or</w:t>
      </w:r>
      <w:r w:rsidR="005B5742">
        <w:rPr>
          <w:rFonts w:ascii="Calibri" w:hAnsi="Calibri" w:cs="Tahoma"/>
          <w:color w:val="000000" w:themeColor="text1"/>
          <w:sz w:val="20"/>
          <w:szCs w:val="20"/>
        </w:rPr>
        <w:t xml:space="preserve"> all parties.</w:t>
      </w:r>
    </w:p>
    <w:p w14:paraId="4D6ED72B" w14:textId="77777777" w:rsidR="004E09B0" w:rsidRPr="00F7269A" w:rsidRDefault="00F7269A" w:rsidP="00F7269A">
      <w:pPr>
        <w:pStyle w:val="ListParagraph"/>
        <w:numPr>
          <w:ilvl w:val="0"/>
          <w:numId w:val="24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 w:rsidRPr="00F7269A">
        <w:rPr>
          <w:rFonts w:ascii="Calibri" w:hAnsi="Calibri"/>
          <w:sz w:val="20"/>
          <w:szCs w:val="20"/>
        </w:rPr>
        <w:t>Communicate progress and achievement of learner to the mentor and/or employer consistently throughout the programme.</w:t>
      </w:r>
    </w:p>
    <w:p w14:paraId="304162A4" w14:textId="13563D64" w:rsidR="00F7269A" w:rsidRPr="00F7269A" w:rsidRDefault="00F7269A" w:rsidP="00F7269A">
      <w:pPr>
        <w:pStyle w:val="ListParagraph"/>
        <w:numPr>
          <w:ilvl w:val="0"/>
          <w:numId w:val="24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 w:rsidRPr="00F7269A">
        <w:rPr>
          <w:rFonts w:ascii="Calibri" w:hAnsi="Calibri"/>
          <w:sz w:val="20"/>
          <w:szCs w:val="20"/>
        </w:rPr>
        <w:lastRenderedPageBreak/>
        <w:t>Collaborate and communicate with ESW IQA to ensure all ES Controlled Tasks and Confirmatory Tests are conducted in a professional manner.</w:t>
      </w:r>
    </w:p>
    <w:p w14:paraId="5771F522" w14:textId="77777777" w:rsidR="00F7269A" w:rsidRPr="00E16E21" w:rsidRDefault="00F7269A" w:rsidP="00F7269A">
      <w:pPr>
        <w:pStyle w:val="ListParagraph"/>
        <w:numPr>
          <w:ilvl w:val="0"/>
          <w:numId w:val="24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 w:rsidRPr="00E16E21">
        <w:rPr>
          <w:rFonts w:ascii="Calibri" w:hAnsi="Calibri"/>
          <w:sz w:val="20"/>
          <w:szCs w:val="20"/>
        </w:rPr>
        <w:t>Ensure that WEST initial assessments are referred to in order to identify areas of development for Numeracy, Literacy and Digital Literacy.</w:t>
      </w:r>
    </w:p>
    <w:p w14:paraId="49D60519" w14:textId="77777777" w:rsidR="006458EF" w:rsidRPr="00E16E21" w:rsidRDefault="00F7269A" w:rsidP="00F7269A">
      <w:pPr>
        <w:pStyle w:val="ListParagraph"/>
        <w:numPr>
          <w:ilvl w:val="0"/>
          <w:numId w:val="24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 w:rsidRPr="00E16E21">
        <w:rPr>
          <w:rFonts w:ascii="Calibri" w:hAnsi="Calibri"/>
          <w:sz w:val="20"/>
          <w:szCs w:val="20"/>
        </w:rPr>
        <w:t>Complete Individual Assessment and Learning Plans (IALP) with all learners to ensure effective and appropriate support is provided throughout the learner journey and progress is recorded.</w:t>
      </w:r>
    </w:p>
    <w:p w14:paraId="328E7191" w14:textId="2877AF0C" w:rsidR="00D93595" w:rsidRPr="00E16E21" w:rsidRDefault="00F7269A" w:rsidP="008B41CC">
      <w:pPr>
        <w:pStyle w:val="ListParagraph"/>
        <w:numPr>
          <w:ilvl w:val="0"/>
          <w:numId w:val="24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 w:rsidRPr="00E16E21">
        <w:rPr>
          <w:rFonts w:ascii="Calibri" w:hAnsi="Calibri"/>
          <w:sz w:val="20"/>
          <w:szCs w:val="20"/>
        </w:rPr>
        <w:t xml:space="preserve">Complete reviews </w:t>
      </w:r>
      <w:r w:rsidR="005D54D5" w:rsidRPr="00E16E21">
        <w:rPr>
          <w:rFonts w:ascii="Calibri" w:hAnsi="Calibri"/>
          <w:sz w:val="20"/>
          <w:szCs w:val="20"/>
        </w:rPr>
        <w:t>monthly</w:t>
      </w:r>
      <w:r w:rsidRPr="00E16E21">
        <w:rPr>
          <w:rFonts w:ascii="Calibri" w:hAnsi="Calibri"/>
          <w:sz w:val="20"/>
          <w:szCs w:val="20"/>
        </w:rPr>
        <w:t xml:space="preserve"> ensuring that the Learner and mentor confirm </w:t>
      </w:r>
      <w:r w:rsidR="005D54D5">
        <w:rPr>
          <w:rFonts w:ascii="Calibri" w:hAnsi="Calibri"/>
          <w:sz w:val="20"/>
          <w:szCs w:val="20"/>
        </w:rPr>
        <w:t xml:space="preserve">that </w:t>
      </w:r>
      <w:r w:rsidRPr="00E16E21">
        <w:rPr>
          <w:rFonts w:ascii="Calibri" w:hAnsi="Calibri"/>
          <w:sz w:val="20"/>
          <w:szCs w:val="20"/>
        </w:rPr>
        <w:t>they are aware of the progress being made and they are clear on the work being planned in the timescales agreed.</w:t>
      </w:r>
    </w:p>
    <w:p w14:paraId="1DA78738" w14:textId="448AA351" w:rsidR="00F7269A" w:rsidRPr="00E16E21" w:rsidRDefault="00F7269A" w:rsidP="008B41CC">
      <w:pPr>
        <w:pStyle w:val="ListParagraph"/>
        <w:numPr>
          <w:ilvl w:val="0"/>
          <w:numId w:val="24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 w:rsidRPr="00E16E21">
        <w:rPr>
          <w:rFonts w:ascii="Calibri" w:hAnsi="Calibri"/>
          <w:sz w:val="20"/>
          <w:szCs w:val="20"/>
        </w:rPr>
        <w:t xml:space="preserve">Ensure leaner work is assessed to ensure IQA sampling can </w:t>
      </w:r>
      <w:r w:rsidR="000711F7" w:rsidRPr="00E16E21">
        <w:rPr>
          <w:rFonts w:ascii="Calibri" w:hAnsi="Calibri"/>
          <w:sz w:val="20"/>
          <w:szCs w:val="20"/>
        </w:rPr>
        <w:t>be carried</w:t>
      </w:r>
      <w:r w:rsidRPr="00E16E21">
        <w:rPr>
          <w:rFonts w:ascii="Calibri" w:hAnsi="Calibri"/>
          <w:sz w:val="20"/>
          <w:szCs w:val="20"/>
        </w:rPr>
        <w:t xml:space="preserve"> out at Formative, Ongoing and Summative stage</w:t>
      </w:r>
      <w:r w:rsidR="00D76511">
        <w:rPr>
          <w:rFonts w:ascii="Calibri" w:hAnsi="Calibri"/>
          <w:sz w:val="20"/>
          <w:szCs w:val="20"/>
        </w:rPr>
        <w:t>.</w:t>
      </w:r>
    </w:p>
    <w:p w14:paraId="3EFB2405" w14:textId="77777777" w:rsidR="00AA7A68" w:rsidRPr="00F7269A" w:rsidRDefault="00F7269A" w:rsidP="00F7269A">
      <w:pPr>
        <w:pStyle w:val="ListParagraph"/>
        <w:numPr>
          <w:ilvl w:val="0"/>
          <w:numId w:val="24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 w:rsidRPr="00E16E21">
        <w:rPr>
          <w:rFonts w:ascii="Calibri" w:hAnsi="Calibri"/>
          <w:sz w:val="20"/>
          <w:szCs w:val="20"/>
        </w:rPr>
        <w:t>Address all IQA actions by the date agree between IQA and assessor.</w:t>
      </w:r>
    </w:p>
    <w:p w14:paraId="43A1A1E4" w14:textId="577A52CF" w:rsidR="004E09B0" w:rsidRDefault="004E09B0" w:rsidP="004E09B0">
      <w:pPr>
        <w:pStyle w:val="PortalHeading1"/>
        <w:rPr>
          <w:shd w:val="clear" w:color="auto" w:fill="FFFFFF"/>
        </w:rPr>
      </w:pPr>
      <w:r>
        <w:rPr>
          <w:shd w:val="clear" w:color="auto" w:fill="FFFFFF"/>
        </w:rPr>
        <w:t>Performance</w:t>
      </w:r>
      <w:r w:rsidR="00004380">
        <w:rPr>
          <w:shd w:val="clear" w:color="auto" w:fill="FFFFFF"/>
        </w:rPr>
        <w:t xml:space="preserve"> and C</w:t>
      </w:r>
      <w:r w:rsidR="003932C1">
        <w:rPr>
          <w:shd w:val="clear" w:color="auto" w:fill="FFFFFF"/>
        </w:rPr>
        <w:t>onformance</w:t>
      </w:r>
    </w:p>
    <w:p w14:paraId="2ACC8C02" w14:textId="1AF21BF6" w:rsidR="002F4662" w:rsidRPr="009E3216" w:rsidRDefault="002F4662" w:rsidP="002F4662">
      <w:pPr>
        <w:pStyle w:val="PortalHeading1"/>
        <w:numPr>
          <w:ilvl w:val="0"/>
          <w:numId w:val="28"/>
        </w:numPr>
        <w:spacing w:before="0"/>
        <w:rPr>
          <w:b w:val="0"/>
          <w:color w:val="auto"/>
          <w:sz w:val="20"/>
          <w:szCs w:val="20"/>
          <w:shd w:val="clear" w:color="auto" w:fill="FFFFFF"/>
        </w:rPr>
      </w:pPr>
      <w:r w:rsidRPr="009E3216">
        <w:rPr>
          <w:b w:val="0"/>
          <w:color w:val="auto"/>
          <w:sz w:val="20"/>
          <w:szCs w:val="20"/>
          <w:shd w:val="clear" w:color="auto" w:fill="FFFFFF"/>
        </w:rPr>
        <w:t xml:space="preserve">Monitor Learner reviews with actions reports and ensure actions are completed and submitted within </w:t>
      </w:r>
      <w:r w:rsidR="009E3216" w:rsidRPr="009E3216">
        <w:rPr>
          <w:b w:val="0"/>
          <w:color w:val="auto"/>
          <w:sz w:val="20"/>
          <w:szCs w:val="20"/>
          <w:shd w:val="clear" w:color="auto" w:fill="FFFFFF"/>
        </w:rPr>
        <w:t>1 month</w:t>
      </w:r>
      <w:r w:rsidRPr="009E3216">
        <w:rPr>
          <w:b w:val="0"/>
          <w:color w:val="auto"/>
          <w:sz w:val="20"/>
          <w:szCs w:val="20"/>
          <w:shd w:val="clear" w:color="auto" w:fill="FFFFFF"/>
        </w:rPr>
        <w:t xml:space="preserve"> of the review date.</w:t>
      </w:r>
    </w:p>
    <w:p w14:paraId="0423FCF3" w14:textId="55275ECB" w:rsidR="002F4662" w:rsidRPr="009E3216" w:rsidRDefault="002F4662" w:rsidP="002F4662">
      <w:pPr>
        <w:pStyle w:val="PortalHeading1"/>
        <w:numPr>
          <w:ilvl w:val="0"/>
          <w:numId w:val="28"/>
        </w:numPr>
        <w:spacing w:before="0"/>
        <w:rPr>
          <w:b w:val="0"/>
          <w:color w:val="auto"/>
          <w:sz w:val="20"/>
          <w:szCs w:val="20"/>
          <w:shd w:val="clear" w:color="auto" w:fill="FFFFFF"/>
        </w:rPr>
      </w:pPr>
      <w:r w:rsidRPr="009E3216">
        <w:rPr>
          <w:b w:val="0"/>
          <w:color w:val="auto"/>
          <w:sz w:val="20"/>
          <w:szCs w:val="20"/>
          <w:shd w:val="clear" w:color="auto" w:fill="FFFFFF"/>
        </w:rPr>
        <w:t xml:space="preserve">Monitor </w:t>
      </w:r>
      <w:r w:rsidR="009D5A91" w:rsidRPr="009E3216">
        <w:rPr>
          <w:b w:val="0"/>
          <w:color w:val="auto"/>
          <w:sz w:val="20"/>
          <w:szCs w:val="20"/>
          <w:shd w:val="clear" w:color="auto" w:fill="FFFFFF"/>
        </w:rPr>
        <w:t xml:space="preserve">your </w:t>
      </w:r>
      <w:r w:rsidRPr="009E3216">
        <w:rPr>
          <w:b w:val="0"/>
          <w:color w:val="auto"/>
          <w:sz w:val="20"/>
          <w:szCs w:val="20"/>
          <w:shd w:val="clear" w:color="auto" w:fill="FFFFFF"/>
        </w:rPr>
        <w:t xml:space="preserve">learner provisional achievers list </w:t>
      </w:r>
      <w:r w:rsidR="009D5A91" w:rsidRPr="009E3216">
        <w:rPr>
          <w:b w:val="0"/>
          <w:color w:val="auto"/>
          <w:sz w:val="20"/>
          <w:szCs w:val="20"/>
          <w:shd w:val="clear" w:color="auto" w:fill="FFFFFF"/>
        </w:rPr>
        <w:t>to ensure no learners are over 12</w:t>
      </w:r>
      <w:r w:rsidRPr="009E3216">
        <w:rPr>
          <w:b w:val="0"/>
          <w:color w:val="auto"/>
          <w:sz w:val="20"/>
          <w:szCs w:val="20"/>
          <w:shd w:val="clear" w:color="auto" w:fill="FFFFFF"/>
        </w:rPr>
        <w:t xml:space="preserve"> weeks </w:t>
      </w:r>
      <w:r w:rsidR="009D5A91" w:rsidRPr="009E3216">
        <w:rPr>
          <w:b w:val="0"/>
          <w:color w:val="auto"/>
          <w:sz w:val="20"/>
          <w:szCs w:val="20"/>
          <w:shd w:val="clear" w:color="auto" w:fill="FFFFFF"/>
        </w:rPr>
        <w:t>from their</w:t>
      </w:r>
      <w:r w:rsidRPr="009E3216">
        <w:rPr>
          <w:b w:val="0"/>
          <w:color w:val="auto"/>
          <w:sz w:val="20"/>
          <w:szCs w:val="20"/>
          <w:shd w:val="clear" w:color="auto" w:fill="FFFFFF"/>
        </w:rPr>
        <w:t xml:space="preserve"> termination dates. </w:t>
      </w:r>
    </w:p>
    <w:p w14:paraId="64F5CB93" w14:textId="5BE17B38" w:rsidR="0074648F" w:rsidRPr="0074648F" w:rsidRDefault="003932C1" w:rsidP="002F4662">
      <w:pPr>
        <w:pStyle w:val="PortalHeading1"/>
        <w:numPr>
          <w:ilvl w:val="0"/>
          <w:numId w:val="28"/>
        </w:numPr>
        <w:spacing w:before="0"/>
        <w:rPr>
          <w:b w:val="0"/>
          <w:color w:val="auto"/>
          <w:sz w:val="22"/>
          <w:szCs w:val="22"/>
          <w:shd w:val="clear" w:color="auto" w:fill="FFFFFF"/>
        </w:rPr>
      </w:pPr>
      <w:r w:rsidRPr="002F4662">
        <w:rPr>
          <w:b w:val="0"/>
          <w:color w:val="auto"/>
          <w:sz w:val="20"/>
          <w:szCs w:val="20"/>
          <w:shd w:val="clear" w:color="auto" w:fill="FFFFFF"/>
        </w:rPr>
        <w:t>Support and effectively engage with learners to</w:t>
      </w:r>
      <w:r w:rsidR="00F7269A" w:rsidRPr="002F4662">
        <w:rPr>
          <w:b w:val="0"/>
          <w:color w:val="auto"/>
          <w:sz w:val="20"/>
          <w:szCs w:val="20"/>
          <w:shd w:val="clear" w:color="auto" w:fill="FFFFFF"/>
        </w:rPr>
        <w:t xml:space="preserve"> achieve</w:t>
      </w: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 attainment</w:t>
      </w:r>
      <w:r w:rsidR="0074648F">
        <w:rPr>
          <w:b w:val="0"/>
          <w:color w:val="auto"/>
          <w:sz w:val="20"/>
          <w:szCs w:val="20"/>
          <w:shd w:val="clear" w:color="auto" w:fill="FFFFFF"/>
        </w:rPr>
        <w:t xml:space="preserve"> rates of 90%</w:t>
      </w:r>
      <w:r w:rsidR="00D76511">
        <w:rPr>
          <w:b w:val="0"/>
          <w:color w:val="auto"/>
          <w:sz w:val="20"/>
          <w:szCs w:val="20"/>
          <w:shd w:val="clear" w:color="auto" w:fill="FFFFFF"/>
        </w:rPr>
        <w:t>.</w:t>
      </w:r>
    </w:p>
    <w:p w14:paraId="73ABB00B" w14:textId="4E84E3F2" w:rsidR="002F4662" w:rsidRDefault="0074648F" w:rsidP="002F4662">
      <w:pPr>
        <w:pStyle w:val="PortalHeading1"/>
        <w:numPr>
          <w:ilvl w:val="0"/>
          <w:numId w:val="28"/>
        </w:numPr>
        <w:spacing w:before="0"/>
        <w:rPr>
          <w:b w:val="0"/>
          <w:color w:val="auto"/>
          <w:sz w:val="22"/>
          <w:szCs w:val="22"/>
          <w:shd w:val="clear" w:color="auto" w:fill="FFFFFF"/>
        </w:rPr>
      </w:pPr>
      <w:r>
        <w:rPr>
          <w:b w:val="0"/>
          <w:color w:val="auto"/>
          <w:sz w:val="20"/>
          <w:szCs w:val="20"/>
          <w:shd w:val="clear" w:color="auto" w:fill="FFFFFF"/>
        </w:rPr>
        <w:t xml:space="preserve">Ensure learners complete on or before their expected end date achieving a minimum </w:t>
      </w:r>
      <w:r w:rsidR="002F4662">
        <w:rPr>
          <w:b w:val="0"/>
          <w:color w:val="auto"/>
          <w:sz w:val="20"/>
          <w:szCs w:val="20"/>
          <w:shd w:val="clear" w:color="auto" w:fill="FFFFFF"/>
        </w:rPr>
        <w:t xml:space="preserve">timely achievement </w:t>
      </w:r>
      <w:r>
        <w:rPr>
          <w:b w:val="0"/>
          <w:color w:val="auto"/>
          <w:sz w:val="20"/>
          <w:szCs w:val="20"/>
          <w:shd w:val="clear" w:color="auto" w:fill="FFFFFF"/>
        </w:rPr>
        <w:t>rate</w:t>
      </w:r>
      <w:r w:rsidR="002F4662">
        <w:rPr>
          <w:b w:val="0"/>
          <w:color w:val="auto"/>
          <w:sz w:val="20"/>
          <w:szCs w:val="20"/>
          <w:shd w:val="clear" w:color="auto" w:fill="FFFFFF"/>
        </w:rPr>
        <w:t xml:space="preserve"> of </w:t>
      </w:r>
      <w:r>
        <w:rPr>
          <w:b w:val="0"/>
          <w:color w:val="auto"/>
          <w:sz w:val="20"/>
          <w:szCs w:val="20"/>
          <w:shd w:val="clear" w:color="auto" w:fill="FFFFFF"/>
        </w:rPr>
        <w:t>85</w:t>
      </w:r>
      <w:r w:rsidR="003932C1" w:rsidRPr="002F4662">
        <w:rPr>
          <w:b w:val="0"/>
          <w:color w:val="auto"/>
          <w:sz w:val="20"/>
          <w:szCs w:val="20"/>
          <w:shd w:val="clear" w:color="auto" w:fill="FFFFFF"/>
        </w:rPr>
        <w:t>%.</w:t>
      </w:r>
    </w:p>
    <w:p w14:paraId="7F0A115F" w14:textId="77777777" w:rsidR="002F4662" w:rsidRDefault="003932C1" w:rsidP="002F4662">
      <w:pPr>
        <w:pStyle w:val="PortalHeading1"/>
        <w:numPr>
          <w:ilvl w:val="0"/>
          <w:numId w:val="28"/>
        </w:numPr>
        <w:spacing w:before="0"/>
        <w:rPr>
          <w:b w:val="0"/>
          <w:color w:val="auto"/>
          <w:sz w:val="22"/>
          <w:szCs w:val="22"/>
          <w:shd w:val="clear" w:color="auto" w:fill="FFFFFF"/>
        </w:rPr>
      </w:pPr>
      <w:r w:rsidRPr="002F4662">
        <w:rPr>
          <w:b w:val="0"/>
          <w:color w:val="auto"/>
          <w:sz w:val="20"/>
          <w:szCs w:val="20"/>
          <w:shd w:val="clear" w:color="auto" w:fill="FFFFFF"/>
        </w:rPr>
        <w:t>Complete r</w:t>
      </w:r>
      <w:r w:rsidR="00F7269A" w:rsidRPr="002F4662">
        <w:rPr>
          <w:b w:val="0"/>
          <w:color w:val="auto"/>
          <w:sz w:val="20"/>
          <w:szCs w:val="20"/>
          <w:shd w:val="clear" w:color="auto" w:fill="FFFFFF"/>
        </w:rPr>
        <w:t>eview</w:t>
      </w: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s with </w:t>
      </w:r>
      <w:r w:rsidR="005D485D" w:rsidRPr="002F4662">
        <w:rPr>
          <w:b w:val="0"/>
          <w:color w:val="auto"/>
          <w:sz w:val="20"/>
          <w:szCs w:val="20"/>
          <w:shd w:val="clear" w:color="auto" w:fill="FFFFFF"/>
        </w:rPr>
        <w:t>l</w:t>
      </w:r>
      <w:r w:rsidR="00F7269A" w:rsidRPr="002F4662">
        <w:rPr>
          <w:b w:val="0"/>
          <w:color w:val="auto"/>
          <w:sz w:val="20"/>
          <w:szCs w:val="20"/>
          <w:shd w:val="clear" w:color="auto" w:fill="FFFFFF"/>
        </w:rPr>
        <w:t>earner</w:t>
      </w:r>
      <w:r w:rsidR="005D485D" w:rsidRPr="002F4662">
        <w:rPr>
          <w:b w:val="0"/>
          <w:color w:val="auto"/>
          <w:sz w:val="20"/>
          <w:szCs w:val="20"/>
          <w:shd w:val="clear" w:color="auto" w:fill="FFFFFF"/>
        </w:rPr>
        <w:t>s</w:t>
      </w: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 monthly (maximum every 61 days) ensuring compliance to Welsh Government </w:t>
      </w:r>
      <w:r w:rsidR="00DF15DE" w:rsidRPr="002F4662">
        <w:rPr>
          <w:b w:val="0"/>
          <w:color w:val="auto"/>
          <w:sz w:val="20"/>
          <w:szCs w:val="20"/>
          <w:shd w:val="clear" w:color="auto" w:fill="FFFFFF"/>
        </w:rPr>
        <w:t>P</w:t>
      </w:r>
      <w:r w:rsidRPr="002F4662">
        <w:rPr>
          <w:b w:val="0"/>
          <w:color w:val="auto"/>
          <w:sz w:val="20"/>
          <w:szCs w:val="20"/>
          <w:shd w:val="clear" w:color="auto" w:fill="FFFFFF"/>
        </w:rPr>
        <w:t>rogramme</w:t>
      </w:r>
      <w:r w:rsidR="00DF15DE" w:rsidRPr="002F4662">
        <w:rPr>
          <w:b w:val="0"/>
          <w:color w:val="auto"/>
          <w:sz w:val="20"/>
          <w:szCs w:val="20"/>
          <w:shd w:val="clear" w:color="auto" w:fill="FFFFFF"/>
        </w:rPr>
        <w:t xml:space="preserve"> Specification, Lead P</w:t>
      </w: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rovider expectations </w:t>
      </w:r>
      <w:r w:rsidR="005D485D" w:rsidRPr="002F4662">
        <w:rPr>
          <w:b w:val="0"/>
          <w:color w:val="auto"/>
          <w:sz w:val="20"/>
          <w:szCs w:val="20"/>
          <w:shd w:val="clear" w:color="auto" w:fill="FFFFFF"/>
        </w:rPr>
        <w:t>and internal</w:t>
      </w: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 practices. </w:t>
      </w:r>
    </w:p>
    <w:p w14:paraId="5E84D0AE" w14:textId="49540D39" w:rsidR="006F43D0" w:rsidRPr="006F43D0" w:rsidRDefault="005D485D" w:rsidP="006F43D0">
      <w:pPr>
        <w:pStyle w:val="PortalHeading1"/>
        <w:numPr>
          <w:ilvl w:val="0"/>
          <w:numId w:val="28"/>
        </w:numPr>
        <w:spacing w:before="0"/>
        <w:rPr>
          <w:b w:val="0"/>
          <w:color w:val="auto"/>
          <w:sz w:val="22"/>
          <w:szCs w:val="22"/>
          <w:shd w:val="clear" w:color="auto" w:fill="FFFFFF"/>
        </w:rPr>
      </w:pP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Maintain regular contact with suspended learners ensuring that </w:t>
      </w:r>
      <w:r w:rsidR="00F7269A" w:rsidRPr="002F4662">
        <w:rPr>
          <w:b w:val="0"/>
          <w:color w:val="auto"/>
          <w:sz w:val="20"/>
          <w:szCs w:val="20"/>
          <w:shd w:val="clear" w:color="auto" w:fill="FFFFFF"/>
        </w:rPr>
        <w:t xml:space="preserve">the </w:t>
      </w:r>
      <w:r w:rsidR="00887B02">
        <w:rPr>
          <w:b w:val="0"/>
          <w:color w:val="auto"/>
          <w:sz w:val="20"/>
          <w:szCs w:val="20"/>
          <w:shd w:val="clear" w:color="auto" w:fill="FFFFFF"/>
        </w:rPr>
        <w:t>Conformance Officer</w:t>
      </w: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 is kept up to date and all communication and evidence is recorded on Visio</w:t>
      </w:r>
      <w:r w:rsidR="006F43D0">
        <w:rPr>
          <w:b w:val="0"/>
          <w:color w:val="auto"/>
          <w:sz w:val="20"/>
          <w:szCs w:val="20"/>
          <w:shd w:val="clear" w:color="auto" w:fill="FFFFFF"/>
        </w:rPr>
        <w:t>n.</w:t>
      </w:r>
    </w:p>
    <w:p w14:paraId="5B1B8236" w14:textId="5BB1B424" w:rsidR="004F06B6" w:rsidRPr="00FB047F" w:rsidRDefault="006F43D0" w:rsidP="006F43D0">
      <w:pPr>
        <w:pStyle w:val="PortalHeading1"/>
        <w:numPr>
          <w:ilvl w:val="0"/>
          <w:numId w:val="28"/>
        </w:numPr>
        <w:spacing w:before="0"/>
        <w:rPr>
          <w:b w:val="0"/>
          <w:color w:val="auto"/>
          <w:sz w:val="22"/>
          <w:szCs w:val="22"/>
          <w:shd w:val="clear" w:color="auto" w:fill="FFFFFF"/>
        </w:rPr>
      </w:pPr>
      <w:r>
        <w:rPr>
          <w:b w:val="0"/>
          <w:color w:val="auto"/>
          <w:sz w:val="20"/>
          <w:szCs w:val="20"/>
          <w:shd w:val="clear" w:color="auto" w:fill="FFFFFF"/>
        </w:rPr>
        <w:t>Submit ELI information on or before the required review date.</w:t>
      </w:r>
    </w:p>
    <w:p w14:paraId="4B58A983" w14:textId="1358EC5E" w:rsidR="00FB047F" w:rsidRPr="006F43D0" w:rsidRDefault="00FB047F" w:rsidP="006F43D0">
      <w:pPr>
        <w:pStyle w:val="PortalHeading1"/>
        <w:numPr>
          <w:ilvl w:val="0"/>
          <w:numId w:val="28"/>
        </w:numPr>
        <w:spacing w:before="0"/>
        <w:rPr>
          <w:b w:val="0"/>
          <w:color w:val="auto"/>
          <w:sz w:val="22"/>
          <w:szCs w:val="22"/>
          <w:shd w:val="clear" w:color="auto" w:fill="FFFFFF"/>
        </w:rPr>
      </w:pPr>
      <w:r>
        <w:rPr>
          <w:b w:val="0"/>
          <w:color w:val="auto"/>
          <w:sz w:val="20"/>
          <w:szCs w:val="20"/>
          <w:shd w:val="clear" w:color="auto" w:fill="FFFFFF"/>
        </w:rPr>
        <w:t xml:space="preserve">Complete Health &amp; Safety monitoring forms as directed by Portal Conformance Officer within a timely manner. </w:t>
      </w:r>
    </w:p>
    <w:p w14:paraId="393B654D" w14:textId="17982DFA" w:rsidR="0074648F" w:rsidRPr="0074648F" w:rsidRDefault="005D485D" w:rsidP="0074648F">
      <w:pPr>
        <w:pStyle w:val="PortalHeading1"/>
        <w:numPr>
          <w:ilvl w:val="0"/>
          <w:numId w:val="28"/>
        </w:numPr>
        <w:spacing w:before="0"/>
        <w:rPr>
          <w:b w:val="0"/>
          <w:color w:val="auto"/>
          <w:sz w:val="22"/>
          <w:szCs w:val="22"/>
          <w:shd w:val="clear" w:color="auto" w:fill="FFFFFF"/>
        </w:rPr>
      </w:pP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Ensure that learner </w:t>
      </w:r>
      <w:r w:rsidR="0074648F" w:rsidRPr="002F4662">
        <w:rPr>
          <w:b w:val="0"/>
          <w:color w:val="auto"/>
          <w:sz w:val="20"/>
          <w:szCs w:val="20"/>
          <w:shd w:val="clear" w:color="auto" w:fill="FFFFFF"/>
        </w:rPr>
        <w:t>Centre</w:t>
      </w: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 files </w:t>
      </w:r>
      <w:r w:rsidR="0074648F" w:rsidRPr="002F4662">
        <w:rPr>
          <w:b w:val="0"/>
          <w:color w:val="auto"/>
          <w:sz w:val="20"/>
          <w:szCs w:val="20"/>
          <w:shd w:val="clear" w:color="auto" w:fill="FFFFFF"/>
        </w:rPr>
        <w:t>are always re</w:t>
      </w:r>
      <w:r w:rsidR="00D76511">
        <w:rPr>
          <w:b w:val="0"/>
          <w:color w:val="auto"/>
          <w:sz w:val="20"/>
          <w:szCs w:val="20"/>
          <w:shd w:val="clear" w:color="auto" w:fill="FFFFFF"/>
        </w:rPr>
        <w:t>gularly audited and audit ready.</w:t>
      </w:r>
      <w:r w:rsidR="0074648F">
        <w:rPr>
          <w:b w:val="0"/>
          <w:color w:val="auto"/>
          <w:sz w:val="20"/>
          <w:szCs w:val="20"/>
          <w:shd w:val="clear" w:color="auto" w:fill="FFFFFF"/>
        </w:rPr>
        <w:t xml:space="preserve"> </w:t>
      </w:r>
    </w:p>
    <w:p w14:paraId="648D29AC" w14:textId="21D67B32" w:rsidR="0074648F" w:rsidRPr="0074648F" w:rsidRDefault="0074648F" w:rsidP="0074648F">
      <w:pPr>
        <w:pStyle w:val="PortalHeading1"/>
        <w:numPr>
          <w:ilvl w:val="0"/>
          <w:numId w:val="28"/>
        </w:numPr>
        <w:spacing w:before="0"/>
        <w:rPr>
          <w:b w:val="0"/>
          <w:color w:val="auto"/>
          <w:sz w:val="22"/>
          <w:szCs w:val="22"/>
          <w:shd w:val="clear" w:color="auto" w:fill="FFFFFF"/>
        </w:rPr>
      </w:pPr>
      <w:r>
        <w:rPr>
          <w:b w:val="0"/>
          <w:color w:val="auto"/>
          <w:sz w:val="20"/>
          <w:szCs w:val="20"/>
          <w:shd w:val="clear" w:color="auto" w:fill="FFFFFF"/>
        </w:rPr>
        <w:t xml:space="preserve">Ensure that suspended learners are brought back on or before their expected return date or suitable action is taken. </w:t>
      </w:r>
    </w:p>
    <w:p w14:paraId="0A7AA0E2" w14:textId="4876A39F" w:rsidR="002C018A" w:rsidRPr="000800FE" w:rsidRDefault="007444E9" w:rsidP="00520D06">
      <w:pPr>
        <w:pStyle w:val="PortalHeading1"/>
        <w:numPr>
          <w:ilvl w:val="0"/>
          <w:numId w:val="28"/>
        </w:numPr>
        <w:spacing w:before="0"/>
        <w:rPr>
          <w:b w:val="0"/>
          <w:color w:val="auto"/>
          <w:sz w:val="22"/>
          <w:szCs w:val="22"/>
          <w:shd w:val="clear" w:color="auto" w:fill="FFFFFF"/>
        </w:rPr>
      </w:pP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Complete all Welsh Government documentation fully to an excellent standard. </w:t>
      </w:r>
    </w:p>
    <w:p w14:paraId="3B65FB96" w14:textId="2711103C" w:rsidR="007444E9" w:rsidRDefault="007444E9" w:rsidP="007444E9">
      <w:pPr>
        <w:pStyle w:val="PortalHeading1"/>
        <w:spacing w:before="0"/>
        <w:ind w:left="1440"/>
        <w:rPr>
          <w:b w:val="0"/>
          <w:color w:val="auto"/>
          <w:sz w:val="20"/>
          <w:szCs w:val="20"/>
          <w:shd w:val="clear" w:color="auto" w:fill="FFFFFF"/>
        </w:rPr>
      </w:pPr>
    </w:p>
    <w:p w14:paraId="54A88E16" w14:textId="77777777" w:rsidR="00DF53FE" w:rsidRPr="007444E9" w:rsidRDefault="00DF53FE" w:rsidP="007444E9">
      <w:pPr>
        <w:pStyle w:val="PortalHeading1"/>
        <w:spacing w:before="0"/>
        <w:ind w:left="1440"/>
        <w:rPr>
          <w:b w:val="0"/>
          <w:color w:val="auto"/>
          <w:sz w:val="20"/>
          <w:szCs w:val="20"/>
          <w:shd w:val="clear" w:color="auto" w:fill="FFFFFF"/>
        </w:rPr>
      </w:pPr>
    </w:p>
    <w:p w14:paraId="693AF4DE" w14:textId="79FFBBBC" w:rsidR="007444E9" w:rsidRDefault="004E09B0" w:rsidP="007444E9">
      <w:pPr>
        <w:pStyle w:val="PortalHeading1"/>
        <w:spacing w:before="0"/>
        <w:rPr>
          <w:shd w:val="clear" w:color="auto" w:fill="FFFFFF"/>
        </w:rPr>
      </w:pPr>
      <w:r>
        <w:rPr>
          <w:shd w:val="clear" w:color="auto" w:fill="FFFFFF"/>
        </w:rPr>
        <w:t>Quality</w:t>
      </w:r>
      <w:r w:rsidR="007444E9">
        <w:rPr>
          <w:shd w:val="clear" w:color="auto" w:fill="FFFFFF"/>
        </w:rPr>
        <w:t xml:space="preserve"> </w:t>
      </w:r>
      <w:r>
        <w:rPr>
          <w:shd w:val="clear" w:color="auto" w:fill="FFFFFF"/>
        </w:rPr>
        <w:t>Assurance</w:t>
      </w:r>
    </w:p>
    <w:p w14:paraId="15D0C783" w14:textId="77777777" w:rsidR="002F4662" w:rsidRDefault="00F7269A" w:rsidP="002F4662">
      <w:pPr>
        <w:pStyle w:val="PortalHeading1"/>
        <w:numPr>
          <w:ilvl w:val="0"/>
          <w:numId w:val="29"/>
        </w:numPr>
        <w:spacing w:before="0"/>
        <w:rPr>
          <w:b w:val="0"/>
          <w:color w:val="auto"/>
          <w:sz w:val="20"/>
          <w:szCs w:val="20"/>
          <w:shd w:val="clear" w:color="auto" w:fill="FFFFFF"/>
        </w:rPr>
      </w:pPr>
      <w:r>
        <w:rPr>
          <w:b w:val="0"/>
          <w:color w:val="auto"/>
          <w:sz w:val="20"/>
          <w:szCs w:val="20"/>
          <w:shd w:val="clear" w:color="auto" w:fill="FFFFFF"/>
        </w:rPr>
        <w:t>Compulsory attendance to all</w:t>
      </w:r>
      <w:r w:rsidR="007444E9">
        <w:rPr>
          <w:b w:val="0"/>
          <w:color w:val="auto"/>
          <w:sz w:val="20"/>
          <w:szCs w:val="20"/>
          <w:shd w:val="clear" w:color="auto" w:fill="FFFFFF"/>
        </w:rPr>
        <w:t xml:space="preserve"> </w:t>
      </w:r>
      <w:proofErr w:type="spellStart"/>
      <w:r w:rsidR="007444E9">
        <w:rPr>
          <w:b w:val="0"/>
          <w:color w:val="auto"/>
          <w:sz w:val="20"/>
          <w:szCs w:val="20"/>
          <w:shd w:val="clear" w:color="auto" w:fill="FFFFFF"/>
        </w:rPr>
        <w:t>standardisation</w:t>
      </w:r>
      <w:proofErr w:type="spellEnd"/>
      <w:r w:rsidR="007444E9">
        <w:rPr>
          <w:b w:val="0"/>
          <w:color w:val="auto"/>
          <w:sz w:val="20"/>
          <w:szCs w:val="20"/>
          <w:shd w:val="clear" w:color="auto" w:fill="FFFFFF"/>
        </w:rPr>
        <w:t xml:space="preserve"> meetings to ensure effective and consistent assessment decisions.</w:t>
      </w:r>
    </w:p>
    <w:p w14:paraId="05829E6C" w14:textId="77777777" w:rsidR="002F4662" w:rsidRDefault="007444E9" w:rsidP="002F4662">
      <w:pPr>
        <w:pStyle w:val="PortalHeading1"/>
        <w:numPr>
          <w:ilvl w:val="0"/>
          <w:numId w:val="29"/>
        </w:numPr>
        <w:spacing w:before="0"/>
        <w:rPr>
          <w:b w:val="0"/>
          <w:color w:val="auto"/>
          <w:sz w:val="20"/>
          <w:szCs w:val="20"/>
          <w:shd w:val="clear" w:color="auto" w:fill="FFFFFF"/>
        </w:rPr>
      </w:pP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Positively engage with </w:t>
      </w:r>
      <w:r w:rsidR="00F7269A" w:rsidRPr="002F4662">
        <w:rPr>
          <w:b w:val="0"/>
          <w:color w:val="auto"/>
          <w:sz w:val="20"/>
          <w:szCs w:val="20"/>
          <w:shd w:val="clear" w:color="auto" w:fill="FFFFFF"/>
        </w:rPr>
        <w:t>the</w:t>
      </w: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 IQA Team to ensure outstanding standards of delivery.</w:t>
      </w:r>
    </w:p>
    <w:p w14:paraId="7F0440B0" w14:textId="77777777" w:rsidR="002F4662" w:rsidRDefault="007444E9" w:rsidP="002F4662">
      <w:pPr>
        <w:pStyle w:val="PortalHeading1"/>
        <w:numPr>
          <w:ilvl w:val="0"/>
          <w:numId w:val="29"/>
        </w:numPr>
        <w:spacing w:before="0"/>
        <w:rPr>
          <w:b w:val="0"/>
          <w:color w:val="auto"/>
          <w:sz w:val="20"/>
          <w:szCs w:val="20"/>
          <w:shd w:val="clear" w:color="auto" w:fill="FFFFFF"/>
        </w:rPr>
      </w:pP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Complete all IQA action points </w:t>
      </w:r>
      <w:r w:rsidR="00F7269A" w:rsidRPr="002F4662">
        <w:rPr>
          <w:b w:val="0"/>
          <w:color w:val="auto"/>
          <w:sz w:val="20"/>
          <w:szCs w:val="20"/>
          <w:shd w:val="clear" w:color="auto" w:fill="FFFFFF"/>
        </w:rPr>
        <w:t>by the agreed date.</w:t>
      </w:r>
    </w:p>
    <w:p w14:paraId="6132ADA0" w14:textId="3BD6CCB8" w:rsidR="002F4662" w:rsidRDefault="00F7269A" w:rsidP="002F4662">
      <w:pPr>
        <w:pStyle w:val="PortalHeading1"/>
        <w:numPr>
          <w:ilvl w:val="0"/>
          <w:numId w:val="29"/>
        </w:numPr>
        <w:spacing w:before="0"/>
        <w:rPr>
          <w:b w:val="0"/>
          <w:color w:val="auto"/>
          <w:sz w:val="20"/>
          <w:szCs w:val="20"/>
          <w:shd w:val="clear" w:color="auto" w:fill="FFFFFF"/>
        </w:rPr>
      </w:pPr>
      <w:r w:rsidRPr="002F4662">
        <w:rPr>
          <w:b w:val="0"/>
          <w:color w:val="auto"/>
          <w:sz w:val="20"/>
          <w:szCs w:val="20"/>
        </w:rPr>
        <w:t>Provide any information r</w:t>
      </w:r>
      <w:r w:rsidR="002F4662" w:rsidRPr="002F4662">
        <w:rPr>
          <w:b w:val="0"/>
          <w:color w:val="auto"/>
          <w:sz w:val="20"/>
          <w:szCs w:val="20"/>
        </w:rPr>
        <w:t xml:space="preserve">equested by </w:t>
      </w:r>
      <w:r w:rsidR="008C3554">
        <w:rPr>
          <w:b w:val="0"/>
          <w:color w:val="auto"/>
          <w:sz w:val="20"/>
          <w:szCs w:val="20"/>
        </w:rPr>
        <w:t>Director</w:t>
      </w:r>
      <w:r w:rsidR="002F4662" w:rsidRPr="002F4662">
        <w:rPr>
          <w:b w:val="0"/>
          <w:color w:val="auto"/>
          <w:sz w:val="20"/>
          <w:szCs w:val="20"/>
        </w:rPr>
        <w:t xml:space="preserve"> of Quality, Qualifications Quality</w:t>
      </w:r>
      <w:r w:rsidRPr="002F4662">
        <w:rPr>
          <w:b w:val="0"/>
          <w:color w:val="auto"/>
          <w:sz w:val="20"/>
          <w:szCs w:val="20"/>
        </w:rPr>
        <w:t xml:space="preserve"> Manager and IQA team in preparation for any visits from Awarding </w:t>
      </w:r>
      <w:proofErr w:type="spellStart"/>
      <w:r w:rsidRPr="002F4662">
        <w:rPr>
          <w:b w:val="0"/>
          <w:color w:val="auto"/>
          <w:sz w:val="20"/>
          <w:szCs w:val="20"/>
        </w:rPr>
        <w:t>Organisations</w:t>
      </w:r>
      <w:proofErr w:type="spellEnd"/>
      <w:r w:rsidRPr="002F4662">
        <w:rPr>
          <w:b w:val="0"/>
          <w:color w:val="auto"/>
          <w:sz w:val="20"/>
          <w:szCs w:val="20"/>
        </w:rPr>
        <w:t>, ESTYN or lead provider audits.</w:t>
      </w:r>
    </w:p>
    <w:p w14:paraId="636F6B83" w14:textId="77777777" w:rsidR="007444E9" w:rsidRDefault="00510919" w:rsidP="002F4662">
      <w:pPr>
        <w:pStyle w:val="PortalHeading1"/>
        <w:numPr>
          <w:ilvl w:val="0"/>
          <w:numId w:val="29"/>
        </w:numPr>
        <w:spacing w:before="0"/>
        <w:rPr>
          <w:b w:val="0"/>
          <w:color w:val="auto"/>
          <w:sz w:val="20"/>
          <w:szCs w:val="20"/>
          <w:shd w:val="clear" w:color="auto" w:fill="FFFFFF"/>
        </w:rPr>
      </w:pPr>
      <w:r w:rsidRPr="002F4662">
        <w:rPr>
          <w:b w:val="0"/>
          <w:color w:val="auto"/>
          <w:sz w:val="20"/>
          <w:szCs w:val="20"/>
          <w:shd w:val="clear" w:color="auto" w:fill="FFFFFF"/>
        </w:rPr>
        <w:t xml:space="preserve">Maintain positive, effective working relationships with your IQA and the wider Quality Team to ensure </w:t>
      </w:r>
      <w:r w:rsidR="00F7269A" w:rsidRPr="002F4662">
        <w:rPr>
          <w:b w:val="0"/>
          <w:color w:val="auto"/>
          <w:sz w:val="20"/>
          <w:szCs w:val="20"/>
        </w:rPr>
        <w:t>Continuous improvement in relation to the quality of the delivery of all qualifications</w:t>
      </w:r>
      <w:r w:rsidR="00F7269A" w:rsidRPr="002F4662">
        <w:rPr>
          <w:b w:val="0"/>
          <w:color w:val="auto"/>
          <w:sz w:val="20"/>
          <w:szCs w:val="20"/>
          <w:shd w:val="clear" w:color="auto" w:fill="FFFFFF"/>
        </w:rPr>
        <w:t>.</w:t>
      </w:r>
    </w:p>
    <w:p w14:paraId="74B99C32" w14:textId="54EDA0A0" w:rsidR="00413E6F" w:rsidRPr="000800FE" w:rsidRDefault="00413E6F" w:rsidP="00413E6F">
      <w:pPr>
        <w:pStyle w:val="ListParagraph"/>
        <w:numPr>
          <w:ilvl w:val="0"/>
          <w:numId w:val="29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adhere to the Code of Professional Conduct and Practice for Registrants with the Education Workforce Council at all times. </w:t>
      </w:r>
    </w:p>
    <w:p w14:paraId="0FAA1949" w14:textId="723F5690" w:rsidR="00413E6F" w:rsidRPr="000800FE" w:rsidRDefault="00413E6F" w:rsidP="00413E6F">
      <w:pPr>
        <w:pStyle w:val="ListParagraph"/>
        <w:numPr>
          <w:ilvl w:val="0"/>
          <w:numId w:val="29"/>
        </w:num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 maintain the Professional Standards for Work Based Learning Practitioners in Wales regardless of delivery area. </w:t>
      </w:r>
    </w:p>
    <w:p w14:paraId="703BBF8B" w14:textId="46025B25" w:rsidR="00413E6F" w:rsidRPr="002F4662" w:rsidRDefault="00413E6F" w:rsidP="003052F8">
      <w:pPr>
        <w:pStyle w:val="PortalHeading1"/>
        <w:spacing w:before="0"/>
        <w:ind w:left="360"/>
        <w:rPr>
          <w:b w:val="0"/>
          <w:color w:val="auto"/>
          <w:sz w:val="20"/>
          <w:szCs w:val="20"/>
          <w:shd w:val="clear" w:color="auto" w:fill="FFFFFF"/>
        </w:rPr>
        <w:sectPr w:rsidR="00413E6F" w:rsidRPr="002F4662" w:rsidSect="00FE05F3">
          <w:headerReference w:type="even" r:id="rId12"/>
          <w:headerReference w:type="default" r:id="rId13"/>
          <w:footerReference w:type="default" r:id="rId14"/>
          <w:headerReference w:type="firs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303154" w14:textId="75462FE4" w:rsidR="003536F9" w:rsidRPr="0033568F" w:rsidRDefault="00004380" w:rsidP="00BF116F">
      <w:pPr>
        <w:pStyle w:val="PortalHeading1"/>
        <w:rPr>
          <w:b w:val="0"/>
          <w:shd w:val="clear" w:color="auto" w:fill="FFFFFF"/>
        </w:rPr>
      </w:pPr>
      <w:r>
        <w:rPr>
          <w:shd w:val="clear" w:color="auto" w:fill="FFFFFF"/>
        </w:rPr>
        <w:t>Learner and Employer E</w:t>
      </w:r>
      <w:r w:rsidR="00395E99">
        <w:rPr>
          <w:shd w:val="clear" w:color="auto" w:fill="FFFFFF"/>
        </w:rPr>
        <w:t xml:space="preserve">ngagement </w:t>
      </w:r>
    </w:p>
    <w:p w14:paraId="36E14AD8" w14:textId="77777777" w:rsidR="00395E99" w:rsidRPr="00395E99" w:rsidRDefault="00395E99" w:rsidP="00D76511">
      <w:pPr>
        <w:pStyle w:val="ListParagraph"/>
        <w:numPr>
          <w:ilvl w:val="0"/>
          <w:numId w:val="30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 w:rsidRPr="00395E99">
        <w:rPr>
          <w:rFonts w:ascii="Calibri" w:hAnsi="Calibri" w:cs="Tahoma"/>
          <w:color w:val="000000" w:themeColor="text1"/>
          <w:sz w:val="20"/>
          <w:szCs w:val="20"/>
        </w:rPr>
        <w:t>Communicate regularly and professionally with learners and employers to maintain good relationships and engagement in the learning process.</w:t>
      </w:r>
    </w:p>
    <w:p w14:paraId="7C010673" w14:textId="77777777" w:rsidR="00395E99" w:rsidRPr="00395E99" w:rsidRDefault="00395E99" w:rsidP="00D76511">
      <w:pPr>
        <w:pStyle w:val="ListParagraph"/>
        <w:numPr>
          <w:ilvl w:val="0"/>
          <w:numId w:val="30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 w:rsidRPr="00395E99">
        <w:rPr>
          <w:rFonts w:ascii="Calibri" w:hAnsi="Calibri" w:cs="Tahoma"/>
          <w:color w:val="000000" w:themeColor="text1"/>
          <w:sz w:val="20"/>
          <w:szCs w:val="20"/>
        </w:rPr>
        <w:t xml:space="preserve"> Develop links with customers to promote new business as appropriate.  </w:t>
      </w:r>
    </w:p>
    <w:p w14:paraId="4E615CA4" w14:textId="77777777" w:rsidR="00395E99" w:rsidRPr="00395E99" w:rsidRDefault="00395E99" w:rsidP="00D76511">
      <w:pPr>
        <w:pStyle w:val="ListParagraph"/>
        <w:numPr>
          <w:ilvl w:val="0"/>
          <w:numId w:val="30"/>
        </w:numPr>
        <w:spacing w:after="120"/>
        <w:rPr>
          <w:rFonts w:ascii="Calibri" w:hAnsi="Calibri" w:cs="Tahoma"/>
          <w:color w:val="000000" w:themeColor="text1"/>
          <w:sz w:val="20"/>
          <w:szCs w:val="20"/>
        </w:rPr>
      </w:pPr>
      <w:r w:rsidRPr="00395E99">
        <w:rPr>
          <w:rFonts w:ascii="Calibri" w:hAnsi="Calibri" w:cs="Tahoma"/>
          <w:color w:val="000000" w:themeColor="text1"/>
          <w:sz w:val="20"/>
          <w:szCs w:val="20"/>
        </w:rPr>
        <w:t>Act as a conduit between employers and Portal ensuring that all business leads are referred to the appropriate team member.</w:t>
      </w:r>
    </w:p>
    <w:p w14:paraId="082BEAF4" w14:textId="77777777" w:rsidR="00ED3CDB" w:rsidRPr="0033568F" w:rsidRDefault="00ED3CDB" w:rsidP="00BF116F">
      <w:pPr>
        <w:pStyle w:val="PortalHeading1"/>
        <w:rPr>
          <w:b w:val="0"/>
          <w:shd w:val="clear" w:color="auto" w:fill="FFFFFF"/>
        </w:rPr>
      </w:pPr>
      <w:r w:rsidRPr="0033568F">
        <w:rPr>
          <w:shd w:val="clear" w:color="auto" w:fill="FFFFFF"/>
        </w:rPr>
        <w:t>General Duties</w:t>
      </w:r>
    </w:p>
    <w:p w14:paraId="17E15149" w14:textId="092A476F" w:rsidR="0010615B" w:rsidRPr="00520D06" w:rsidRDefault="0010615B" w:rsidP="0010615B">
      <w:pPr>
        <w:pStyle w:val="ListParagraph"/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D76511">
        <w:rPr>
          <w:rFonts w:ascii="Calibri" w:hAnsi="Calibri"/>
          <w:sz w:val="20"/>
          <w:szCs w:val="20"/>
        </w:rPr>
        <w:t>Update</w:t>
      </w:r>
      <w:r w:rsidRPr="00D76511">
        <w:rPr>
          <w:rFonts w:ascii="Calibri" w:hAnsi="Calibri" w:cs="Helvetica"/>
          <w:sz w:val="20"/>
          <w:szCs w:val="20"/>
        </w:rPr>
        <w:t xml:space="preserve"> job knowledge by participating in educational opportunities; reading trade publications and attending networking events.</w:t>
      </w:r>
    </w:p>
    <w:p w14:paraId="39F80B4D" w14:textId="77777777" w:rsidR="0010615B" w:rsidRPr="00D76511" w:rsidRDefault="0010615B" w:rsidP="0010615B">
      <w:pPr>
        <w:pStyle w:val="ListParagraph"/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D76511">
        <w:rPr>
          <w:rFonts w:ascii="Calibri" w:hAnsi="Calibri" w:cs="Helvetica"/>
          <w:sz w:val="20"/>
          <w:szCs w:val="20"/>
        </w:rPr>
        <w:t xml:space="preserve">Take part in any project work deemed </w:t>
      </w:r>
      <w:r w:rsidR="0085315D" w:rsidRPr="00D76511">
        <w:rPr>
          <w:rFonts w:ascii="Calibri" w:hAnsi="Calibri" w:cs="Helvetica"/>
          <w:sz w:val="20"/>
          <w:szCs w:val="20"/>
        </w:rPr>
        <w:t>necessary by Portal Training’s senior m</w:t>
      </w:r>
      <w:r w:rsidRPr="00D76511">
        <w:rPr>
          <w:rFonts w:ascii="Calibri" w:hAnsi="Calibri" w:cs="Helvetica"/>
          <w:sz w:val="20"/>
          <w:szCs w:val="20"/>
        </w:rPr>
        <w:t xml:space="preserve">anagement team. </w:t>
      </w:r>
    </w:p>
    <w:p w14:paraId="7BD66222" w14:textId="77777777" w:rsidR="0010615B" w:rsidRPr="00D76511" w:rsidRDefault="009F43FE" w:rsidP="0010615B">
      <w:pPr>
        <w:pStyle w:val="ListParagraph"/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D76511">
        <w:rPr>
          <w:rFonts w:ascii="Calibri" w:hAnsi="Calibri"/>
          <w:sz w:val="20"/>
          <w:szCs w:val="20"/>
        </w:rPr>
        <w:t>Fully engage with</w:t>
      </w:r>
      <w:r w:rsidR="0010615B" w:rsidRPr="00D76511">
        <w:rPr>
          <w:rFonts w:ascii="Calibri" w:hAnsi="Calibri"/>
          <w:sz w:val="20"/>
          <w:szCs w:val="20"/>
        </w:rPr>
        <w:t xml:space="preserve"> and adhere to Portal Training’</w:t>
      </w:r>
      <w:r w:rsidR="0085315D" w:rsidRPr="00D76511">
        <w:rPr>
          <w:rFonts w:ascii="Calibri" w:hAnsi="Calibri"/>
          <w:sz w:val="20"/>
          <w:szCs w:val="20"/>
        </w:rPr>
        <w:t>s company v</w:t>
      </w:r>
      <w:r w:rsidR="0010615B" w:rsidRPr="00D76511">
        <w:rPr>
          <w:rFonts w:ascii="Calibri" w:hAnsi="Calibri"/>
          <w:sz w:val="20"/>
          <w:szCs w:val="20"/>
        </w:rPr>
        <w:t>alues.</w:t>
      </w:r>
    </w:p>
    <w:p w14:paraId="6A7FB865" w14:textId="77777777" w:rsidR="0010615B" w:rsidRPr="00D76511" w:rsidRDefault="0010615B" w:rsidP="0010615B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D76511">
        <w:rPr>
          <w:rFonts w:ascii="Calibri" w:hAnsi="Calibri"/>
          <w:sz w:val="20"/>
          <w:szCs w:val="20"/>
        </w:rPr>
        <w:t>Embrace Portal Training’s strategies, polices and processes.</w:t>
      </w:r>
    </w:p>
    <w:p w14:paraId="40D1F93F" w14:textId="77777777" w:rsidR="00DC5A68" w:rsidRPr="00D76511" w:rsidRDefault="00DC5A68" w:rsidP="0010615B">
      <w:pPr>
        <w:pStyle w:val="ListParagraph"/>
        <w:numPr>
          <w:ilvl w:val="0"/>
          <w:numId w:val="9"/>
        </w:numPr>
        <w:rPr>
          <w:rFonts w:ascii="Calibri" w:hAnsi="Calibri"/>
          <w:sz w:val="20"/>
          <w:szCs w:val="20"/>
        </w:rPr>
      </w:pPr>
      <w:r w:rsidRPr="00D76511">
        <w:rPr>
          <w:rFonts w:ascii="Calibri" w:hAnsi="Calibri"/>
          <w:sz w:val="20"/>
          <w:szCs w:val="20"/>
        </w:rPr>
        <w:t>Ensure that all your practices adhere to information security policies, procedures and legislation.</w:t>
      </w:r>
    </w:p>
    <w:p w14:paraId="5253B7B5" w14:textId="77777777" w:rsidR="0010615B" w:rsidRPr="00D76511" w:rsidRDefault="0010615B" w:rsidP="0010615B">
      <w:pPr>
        <w:pStyle w:val="ListParagraph"/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D76511">
        <w:rPr>
          <w:rFonts w:ascii="Calibri" w:hAnsi="Calibri"/>
          <w:sz w:val="20"/>
          <w:szCs w:val="20"/>
        </w:rPr>
        <w:t xml:space="preserve">Work as a team to ensure continuous quality improvements supporting the company’s journey to excellence. </w:t>
      </w:r>
    </w:p>
    <w:p w14:paraId="70BB8214" w14:textId="77777777" w:rsidR="00A44F8E" w:rsidRPr="00D76511" w:rsidRDefault="00395E99" w:rsidP="00395E99">
      <w:pPr>
        <w:pStyle w:val="ListParagraph"/>
        <w:numPr>
          <w:ilvl w:val="0"/>
          <w:numId w:val="9"/>
        </w:numPr>
        <w:spacing w:after="0"/>
        <w:rPr>
          <w:rFonts w:ascii="Calibri" w:hAnsi="Calibri"/>
          <w:sz w:val="20"/>
          <w:szCs w:val="20"/>
        </w:rPr>
      </w:pPr>
      <w:r w:rsidRPr="00D76511">
        <w:rPr>
          <w:rFonts w:ascii="Calibri" w:hAnsi="Calibri"/>
          <w:sz w:val="20"/>
          <w:szCs w:val="20"/>
        </w:rPr>
        <w:t>Keep outlook calendars up to date at all times.</w:t>
      </w:r>
    </w:p>
    <w:p w14:paraId="647A259C" w14:textId="77777777" w:rsidR="00395E99" w:rsidRPr="00D76511" w:rsidRDefault="00395E99" w:rsidP="00395E99">
      <w:pPr>
        <w:pStyle w:val="ListParagraph"/>
        <w:spacing w:after="0"/>
        <w:rPr>
          <w:rFonts w:ascii="Calibri" w:hAnsi="Calibri"/>
          <w:sz w:val="20"/>
          <w:szCs w:val="20"/>
        </w:rPr>
      </w:pPr>
    </w:p>
    <w:p w14:paraId="3D01C4B0" w14:textId="67713FBA" w:rsidR="0010615B" w:rsidRDefault="005B1823" w:rsidP="00607F91">
      <w:p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D76511">
        <w:rPr>
          <w:rFonts w:ascii="Calibri" w:hAnsi="Calibri" w:cs="Arial"/>
          <w:b/>
          <w:bCs/>
          <w:sz w:val="20"/>
          <w:szCs w:val="20"/>
          <w:shd w:val="clear" w:color="auto" w:fill="FFFFFF"/>
        </w:rPr>
        <w:t>Key Responsibilities</w:t>
      </w:r>
      <w:r w:rsidR="00A44F8E" w:rsidRPr="00D76511">
        <w:rPr>
          <w:rFonts w:ascii="Calibri" w:hAnsi="Calibri" w:cs="Arial"/>
          <w:b/>
          <w:bCs/>
          <w:sz w:val="20"/>
          <w:szCs w:val="20"/>
          <w:shd w:val="clear" w:color="auto" w:fill="FFFFFF"/>
        </w:rPr>
        <w:t xml:space="preserve">: </w:t>
      </w:r>
      <w:r w:rsidR="00A44F8E"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>The above duties are not an exhaustive list and sho</w:t>
      </w:r>
      <w:r w:rsidR="001715D7"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>uld be viewed as guidance.  Your</w:t>
      </w:r>
      <w:r w:rsidR="0085315D"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line m</w:t>
      </w:r>
      <w:r w:rsidR="00A44F8E"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anager or Portal’s </w:t>
      </w:r>
      <w:r w:rsidR="00A409BC"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>S</w:t>
      </w:r>
      <w:r w:rsidR="00A44F8E"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enior </w:t>
      </w:r>
      <w:r w:rsidR="00A409BC"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>M</w:t>
      </w:r>
      <w:r w:rsidR="00A44F8E"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>anagement team may ask that you t</w:t>
      </w:r>
      <w:r w:rsidR="0085315D"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>ake part in additional duties in order to</w:t>
      </w:r>
      <w:r w:rsidR="00A44F8E"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fully utilise your experience, skills and knowledge. </w:t>
      </w:r>
    </w:p>
    <w:p w14:paraId="5AE7A180" w14:textId="77777777" w:rsidR="00E0606B" w:rsidRPr="0033568F" w:rsidRDefault="00E0606B" w:rsidP="00E0606B">
      <w:pPr>
        <w:pStyle w:val="PortalHeading1"/>
        <w:rPr>
          <w:b w:val="0"/>
          <w:shd w:val="clear" w:color="auto" w:fill="FFFFFF"/>
        </w:rPr>
      </w:pPr>
      <w:r w:rsidRPr="0033568F">
        <w:rPr>
          <w:shd w:val="clear" w:color="auto" w:fill="FFFFFF"/>
        </w:rPr>
        <w:t>Personal Qualities</w:t>
      </w:r>
    </w:p>
    <w:p w14:paraId="032BA3EA" w14:textId="77777777" w:rsidR="00E0606B" w:rsidRPr="00D76511" w:rsidRDefault="00E0606B" w:rsidP="00E0606B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>A proven track record in working within similar roles.</w:t>
      </w:r>
    </w:p>
    <w:p w14:paraId="3C3BF783" w14:textId="77777777" w:rsidR="00E0606B" w:rsidRPr="00D76511" w:rsidRDefault="00E0606B" w:rsidP="00E0606B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>Excellent communication skills both written and verbal.</w:t>
      </w:r>
    </w:p>
    <w:p w14:paraId="63933C93" w14:textId="5B6954F1" w:rsidR="00E0606B" w:rsidRPr="00D76511" w:rsidRDefault="00E0606B" w:rsidP="00E0606B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A highly </w:t>
      </w:r>
      <w:r w:rsidR="00BA4041"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>self-motivated</w:t>
      </w:r>
      <w:r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individual with a positive ‘can do’ attitude. </w:t>
      </w:r>
    </w:p>
    <w:p w14:paraId="2287B808" w14:textId="77777777" w:rsidR="00E0606B" w:rsidRPr="00D76511" w:rsidRDefault="00E0606B" w:rsidP="00E0606B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Good attention to detail. </w:t>
      </w:r>
    </w:p>
    <w:p w14:paraId="4BABE292" w14:textId="77777777" w:rsidR="00E0606B" w:rsidRPr="00D76511" w:rsidRDefault="00E0606B" w:rsidP="00E0606B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>Good time management skills.</w:t>
      </w:r>
    </w:p>
    <w:p w14:paraId="1C1FE8D0" w14:textId="77777777" w:rsidR="00E0606B" w:rsidRPr="00D76511" w:rsidRDefault="00E0606B" w:rsidP="00E0606B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D76511">
        <w:rPr>
          <w:rFonts w:ascii="Calibri" w:hAnsi="Calibri" w:cs="Arial"/>
          <w:sz w:val="20"/>
          <w:szCs w:val="20"/>
          <w:shd w:val="clear" w:color="auto" w:fill="FFFFFF"/>
        </w:rPr>
        <w:t>Customer or Client Service Orientation.</w:t>
      </w:r>
    </w:p>
    <w:p w14:paraId="0F332B03" w14:textId="77777777" w:rsidR="00E0606B" w:rsidRPr="00D76511" w:rsidRDefault="00E0606B" w:rsidP="00E0606B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D76511">
        <w:rPr>
          <w:rFonts w:ascii="Calibri" w:hAnsi="Calibri" w:cs="Arial"/>
          <w:sz w:val="20"/>
          <w:szCs w:val="20"/>
          <w:shd w:val="clear" w:color="auto" w:fill="FFFFFF"/>
        </w:rPr>
        <w:t>Good presentation skills.</w:t>
      </w:r>
    </w:p>
    <w:p w14:paraId="3905D573" w14:textId="77777777" w:rsidR="00E0606B" w:rsidRPr="00D76511" w:rsidRDefault="00E0606B" w:rsidP="00E0606B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D76511">
        <w:rPr>
          <w:rFonts w:ascii="Calibri" w:hAnsi="Calibri" w:cs="Arial"/>
          <w:sz w:val="20"/>
          <w:szCs w:val="20"/>
          <w:shd w:val="clear" w:color="auto" w:fill="FFFFFF"/>
        </w:rPr>
        <w:t>An excellent relationship builder.</w:t>
      </w:r>
    </w:p>
    <w:p w14:paraId="2FDA81EF" w14:textId="77777777" w:rsidR="00E0606B" w:rsidRPr="00004380" w:rsidRDefault="00E0606B" w:rsidP="00E0606B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>Good negotiation skills.</w:t>
      </w:r>
    </w:p>
    <w:p w14:paraId="6CB7698A" w14:textId="77777777" w:rsidR="00E0606B" w:rsidRPr="00D76511" w:rsidRDefault="00E0606B" w:rsidP="00E0606B">
      <w:pPr>
        <w:pStyle w:val="PortalHeading1"/>
        <w:rPr>
          <w:b w:val="0"/>
          <w:shd w:val="clear" w:color="auto" w:fill="FFFFFF"/>
        </w:rPr>
      </w:pPr>
      <w:r w:rsidRPr="0033568F">
        <w:rPr>
          <w:shd w:val="clear" w:color="auto" w:fill="FFFFFF"/>
        </w:rPr>
        <w:t>Essential Experience and Skills</w:t>
      </w:r>
    </w:p>
    <w:p w14:paraId="70B0D5C8" w14:textId="3ECE8768" w:rsidR="004B6445" w:rsidRDefault="00E0606B" w:rsidP="00E0606B">
      <w:pPr>
        <w:pStyle w:val="ListParagraph"/>
        <w:numPr>
          <w:ilvl w:val="0"/>
          <w:numId w:val="16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D76511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A </w:t>
      </w:r>
      <w:r w:rsidR="00BB3F5A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minimum of 3 </w:t>
      </w:r>
      <w:r w:rsidR="004B6445">
        <w:rPr>
          <w:rFonts w:ascii="Calibri" w:hAnsi="Calibri" w:cs="Arial"/>
          <w:bCs/>
          <w:sz w:val="20"/>
          <w:szCs w:val="20"/>
          <w:shd w:val="clear" w:color="auto" w:fill="FFFFFF"/>
        </w:rPr>
        <w:t>years’ experience of working within a childcare setting</w:t>
      </w:r>
      <w:r w:rsidR="0089471A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</w:p>
    <w:p w14:paraId="5358CA6B" w14:textId="142D6BF0" w:rsidR="00E0606B" w:rsidRDefault="0036220F" w:rsidP="00E0606B">
      <w:pPr>
        <w:pStyle w:val="ListParagraph"/>
        <w:numPr>
          <w:ilvl w:val="0"/>
          <w:numId w:val="16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Obtains</w:t>
      </w:r>
      <w:r w:rsidR="00206A12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</w:t>
      </w:r>
      <w:r w:rsidR="007043B8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a </w:t>
      </w:r>
      <w:r w:rsidR="00BB0F5F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qualification </w:t>
      </w:r>
      <w:r w:rsidR="00383F23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in childcare </w:t>
      </w:r>
      <w:r w:rsidR="001E7537">
        <w:rPr>
          <w:rFonts w:ascii="Calibri" w:hAnsi="Calibri" w:cs="Arial"/>
          <w:bCs/>
          <w:sz w:val="20"/>
          <w:szCs w:val="20"/>
          <w:shd w:val="clear" w:color="auto" w:fill="FFFFFF"/>
        </w:rPr>
        <w:t>(for children</w:t>
      </w:r>
      <w:r w:rsidR="002B1364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ranging between ages</w:t>
      </w:r>
      <w:r w:rsidR="001E7537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0 -19) </w:t>
      </w:r>
      <w:r w:rsidR="00BB0F5F">
        <w:rPr>
          <w:rFonts w:ascii="Calibri" w:hAnsi="Calibri" w:cs="Arial"/>
          <w:bCs/>
          <w:sz w:val="20"/>
          <w:szCs w:val="20"/>
          <w:shd w:val="clear" w:color="auto" w:fill="FFFFFF"/>
        </w:rPr>
        <w:t>at level 3 minimum</w:t>
      </w:r>
      <w:r w:rsidR="007043B8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or equivalent</w:t>
      </w:r>
      <w:r w:rsidR="0089471A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  <w:r w:rsidR="007043B8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</w:t>
      </w:r>
    </w:p>
    <w:p w14:paraId="7307C068" w14:textId="2D9290C8" w:rsidR="00E0606B" w:rsidRPr="009A2394" w:rsidRDefault="00E0606B" w:rsidP="009A2394">
      <w:pPr>
        <w:pStyle w:val="ListParagraph"/>
        <w:numPr>
          <w:ilvl w:val="0"/>
          <w:numId w:val="16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9A2394">
        <w:rPr>
          <w:rFonts w:ascii="Calibri" w:hAnsi="Calibri" w:cs="Arial"/>
          <w:bCs/>
          <w:sz w:val="20"/>
          <w:szCs w:val="20"/>
          <w:shd w:val="clear" w:color="auto" w:fill="FFFFFF"/>
        </w:rPr>
        <w:t>Excellent Microsoft Office skills</w:t>
      </w:r>
      <w:r w:rsidR="0089471A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</w:p>
    <w:p w14:paraId="0B6D4427" w14:textId="6AC92424" w:rsidR="00E0606B" w:rsidRPr="009A2394" w:rsidRDefault="00E0606B" w:rsidP="00E0606B">
      <w:pPr>
        <w:pStyle w:val="ListParagraph"/>
        <w:numPr>
          <w:ilvl w:val="0"/>
          <w:numId w:val="16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9A2394">
        <w:rPr>
          <w:rFonts w:ascii="Calibri" w:hAnsi="Calibri" w:cs="Arial"/>
          <w:bCs/>
          <w:sz w:val="20"/>
          <w:szCs w:val="20"/>
          <w:shd w:val="clear" w:color="auto" w:fill="FFFFFF"/>
        </w:rPr>
        <w:t>A good level of Maths and English</w:t>
      </w:r>
      <w:r w:rsidR="0089471A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  <w:r w:rsidRPr="009A2394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</w:t>
      </w:r>
    </w:p>
    <w:p w14:paraId="67E4A872" w14:textId="417C70F7" w:rsidR="00187FE5" w:rsidRDefault="00187FE5" w:rsidP="00187FE5">
      <w:pPr>
        <w:pStyle w:val="ListParagraph"/>
        <w:numPr>
          <w:ilvl w:val="0"/>
          <w:numId w:val="16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666B66">
        <w:rPr>
          <w:rFonts w:ascii="Calibri" w:hAnsi="Calibri" w:cs="Arial"/>
          <w:bCs/>
          <w:sz w:val="20"/>
          <w:szCs w:val="20"/>
          <w:shd w:val="clear" w:color="auto" w:fill="FFFFFF"/>
        </w:rPr>
        <w:t>Fluent Welsh speaker</w:t>
      </w:r>
      <w:r w:rsidR="0089471A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</w:p>
    <w:p w14:paraId="59E2F8EF" w14:textId="3B10284C" w:rsidR="00145A75" w:rsidRPr="00666B66" w:rsidRDefault="00145A75" w:rsidP="00187FE5">
      <w:pPr>
        <w:pStyle w:val="ListParagraph"/>
        <w:numPr>
          <w:ilvl w:val="0"/>
          <w:numId w:val="16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Holds a full U.K driving licence</w:t>
      </w:r>
      <w:r w:rsidR="004F68C6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</w:p>
    <w:p w14:paraId="0684A328" w14:textId="1FA52C33" w:rsidR="00E0606B" w:rsidRDefault="00BA4041" w:rsidP="00E0606B">
      <w:pPr>
        <w:pStyle w:val="PortalHeading1"/>
        <w:rPr>
          <w:shd w:val="clear" w:color="auto" w:fill="FFFFFF"/>
        </w:rPr>
      </w:pPr>
      <w:r>
        <w:rPr>
          <w:shd w:val="clear" w:color="auto" w:fill="FFFFFF"/>
        </w:rPr>
        <w:t>Desirable</w:t>
      </w:r>
      <w:r w:rsidR="00E0606B" w:rsidRPr="0033568F">
        <w:rPr>
          <w:shd w:val="clear" w:color="auto" w:fill="FFFFFF"/>
        </w:rPr>
        <w:t xml:space="preserve"> Experience and Skills  </w:t>
      </w:r>
    </w:p>
    <w:p w14:paraId="2F92399B" w14:textId="5E067F2F" w:rsidR="007021E0" w:rsidRDefault="007021E0" w:rsidP="007021E0">
      <w:pPr>
        <w:pStyle w:val="ListParagraph"/>
        <w:numPr>
          <w:ilvl w:val="0"/>
          <w:numId w:val="16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Holds assessor qualification (E.G. TAQA/A1/D32)</w:t>
      </w:r>
      <w:r w:rsidR="0089471A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</w:p>
    <w:p w14:paraId="2973FBD1" w14:textId="3A4A048B" w:rsidR="00E0606B" w:rsidRDefault="00007D0A" w:rsidP="0036220F">
      <w:pPr>
        <w:pStyle w:val="ListParagraph"/>
        <w:numPr>
          <w:ilvl w:val="0"/>
          <w:numId w:val="17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Holds i</w:t>
      </w:r>
      <w:r w:rsidR="00B742CA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nternal </w:t>
      </w:r>
      <w:r>
        <w:rPr>
          <w:rFonts w:ascii="Calibri" w:hAnsi="Calibri" w:cs="Arial"/>
          <w:bCs/>
          <w:sz w:val="20"/>
          <w:szCs w:val="20"/>
          <w:shd w:val="clear" w:color="auto" w:fill="FFFFFF"/>
        </w:rPr>
        <w:t>v</w:t>
      </w:r>
      <w:r w:rsidR="00AC4EAD" w:rsidRPr="006D2D69">
        <w:rPr>
          <w:rFonts w:ascii="Calibri" w:hAnsi="Calibri" w:cs="Arial"/>
          <w:bCs/>
          <w:sz w:val="20"/>
          <w:szCs w:val="20"/>
          <w:shd w:val="clear" w:color="auto" w:fill="FFFFFF"/>
        </w:rPr>
        <w:t>erifier qualification</w:t>
      </w:r>
      <w:r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(</w:t>
      </w:r>
      <w:r w:rsidR="00AC4EAD" w:rsidRPr="006D2D69">
        <w:rPr>
          <w:rFonts w:ascii="Calibri" w:hAnsi="Calibri" w:cs="Arial"/>
          <w:bCs/>
          <w:sz w:val="20"/>
          <w:szCs w:val="20"/>
          <w:shd w:val="clear" w:color="auto" w:fill="FFFFFF"/>
        </w:rPr>
        <w:t>E.g. TAQA,</w:t>
      </w:r>
      <w:r w:rsidR="0036220F" w:rsidRPr="006D2D69">
        <w:rPr>
          <w:rFonts w:ascii="Calibri" w:hAnsi="Calibri" w:cs="Arial"/>
          <w:bCs/>
          <w:sz w:val="20"/>
          <w:szCs w:val="20"/>
          <w:shd w:val="clear" w:color="auto" w:fill="FFFFFF"/>
        </w:rPr>
        <w:t xml:space="preserve"> V1</w:t>
      </w:r>
      <w:r>
        <w:rPr>
          <w:rFonts w:ascii="Calibri" w:hAnsi="Calibri" w:cs="Arial"/>
          <w:bCs/>
          <w:sz w:val="20"/>
          <w:szCs w:val="20"/>
          <w:shd w:val="clear" w:color="auto" w:fill="FFFFFF"/>
        </w:rPr>
        <w:t>)</w:t>
      </w:r>
      <w:r w:rsidR="0089471A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</w:p>
    <w:p w14:paraId="2668ACCE" w14:textId="6764668A" w:rsidR="00007D0A" w:rsidRDefault="00007D0A" w:rsidP="00007D0A">
      <w:pPr>
        <w:pStyle w:val="ListParagraph"/>
        <w:numPr>
          <w:ilvl w:val="0"/>
          <w:numId w:val="17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Experience of assessing vocational based qualifications/assessment practice</w:t>
      </w:r>
      <w:r w:rsidR="00F86A18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</w:p>
    <w:p w14:paraId="59E0F6CB" w14:textId="29928AAE" w:rsidR="00007D0A" w:rsidRPr="00007D0A" w:rsidRDefault="00007D0A" w:rsidP="00007D0A">
      <w:pPr>
        <w:pStyle w:val="ListParagraph"/>
        <w:numPr>
          <w:ilvl w:val="0"/>
          <w:numId w:val="17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>
        <w:rPr>
          <w:rFonts w:ascii="Calibri" w:hAnsi="Calibri" w:cs="Arial"/>
          <w:bCs/>
          <w:sz w:val="20"/>
          <w:szCs w:val="20"/>
          <w:shd w:val="clear" w:color="auto" w:fill="FFFFFF"/>
        </w:rPr>
        <w:t>Experience of Work Based Learning</w:t>
      </w:r>
      <w:r w:rsidR="00874BB2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</w:p>
    <w:p w14:paraId="6B2184E6" w14:textId="06EFD2D1" w:rsidR="001A08CC" w:rsidRPr="006D2D69" w:rsidRDefault="001A08CC" w:rsidP="001A08CC">
      <w:pPr>
        <w:pStyle w:val="ListParagraph"/>
        <w:numPr>
          <w:ilvl w:val="0"/>
          <w:numId w:val="17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6D2D69">
        <w:rPr>
          <w:rFonts w:ascii="Calibri" w:hAnsi="Calibri" w:cs="Arial"/>
          <w:bCs/>
          <w:sz w:val="20"/>
          <w:szCs w:val="20"/>
          <w:shd w:val="clear" w:color="auto" w:fill="FFFFFF"/>
        </w:rPr>
        <w:t>Obtains a qualification in childcare (for children ra</w:t>
      </w:r>
      <w:bookmarkStart w:id="0" w:name="_GoBack"/>
      <w:bookmarkEnd w:id="0"/>
      <w:r w:rsidRPr="006D2D69">
        <w:rPr>
          <w:rFonts w:ascii="Calibri" w:hAnsi="Calibri" w:cs="Arial"/>
          <w:bCs/>
          <w:sz w:val="20"/>
          <w:szCs w:val="20"/>
          <w:shd w:val="clear" w:color="auto" w:fill="FFFFFF"/>
        </w:rPr>
        <w:t>nging between ages 0 -19) at level 5 or equivalent</w:t>
      </w:r>
      <w:r w:rsidR="00874BB2">
        <w:rPr>
          <w:rFonts w:ascii="Calibri" w:hAnsi="Calibri" w:cs="Arial"/>
          <w:bCs/>
          <w:sz w:val="20"/>
          <w:szCs w:val="20"/>
          <w:shd w:val="clear" w:color="auto" w:fill="FFFFFF"/>
        </w:rPr>
        <w:t>.</w:t>
      </w:r>
    </w:p>
    <w:p w14:paraId="3A6A9D3F" w14:textId="77777777" w:rsidR="00E0606B" w:rsidRPr="006D2D69" w:rsidRDefault="00E0606B" w:rsidP="00E0606B">
      <w:pPr>
        <w:pStyle w:val="ListParagraph"/>
        <w:numPr>
          <w:ilvl w:val="0"/>
          <w:numId w:val="11"/>
        </w:numPr>
        <w:rPr>
          <w:rFonts w:ascii="Calibri" w:hAnsi="Calibri" w:cs="Arial"/>
          <w:bCs/>
          <w:sz w:val="20"/>
          <w:szCs w:val="20"/>
          <w:shd w:val="clear" w:color="auto" w:fill="FFFFFF"/>
        </w:rPr>
      </w:pPr>
      <w:r w:rsidRPr="006D2D69">
        <w:rPr>
          <w:rFonts w:ascii="Calibri" w:hAnsi="Calibri" w:cs="Arial"/>
          <w:bCs/>
          <w:sz w:val="20"/>
          <w:szCs w:val="20"/>
          <w:shd w:val="clear" w:color="auto" w:fill="FFFFFF"/>
        </w:rPr>
        <w:t>Experience of in working with different electronic platforms such as Learning Assistant, One File or Moodle.</w:t>
      </w:r>
    </w:p>
    <w:p w14:paraId="53EB025B" w14:textId="77777777" w:rsidR="004F7C6A" w:rsidRPr="009E44C6" w:rsidRDefault="004F7C6A" w:rsidP="004F7C6A">
      <w:pPr>
        <w:pStyle w:val="PortalHeading1"/>
        <w:ind w:left="360"/>
        <w:rPr>
          <w:shd w:val="clear" w:color="auto" w:fill="FFFFFF"/>
        </w:rPr>
      </w:pPr>
      <w:r w:rsidRPr="009E44C6">
        <w:rPr>
          <w:shd w:val="clear" w:color="auto" w:fill="FFFFFF"/>
        </w:rPr>
        <w:t>Key Performance Indicators</w:t>
      </w:r>
    </w:p>
    <w:tbl>
      <w:tblPr>
        <w:tblStyle w:val="TableGrid"/>
        <w:tblW w:w="9022" w:type="dxa"/>
        <w:tblLook w:val="04A0" w:firstRow="1" w:lastRow="0" w:firstColumn="1" w:lastColumn="0" w:noHBand="0" w:noVBand="1"/>
      </w:tblPr>
      <w:tblGrid>
        <w:gridCol w:w="1793"/>
        <w:gridCol w:w="5006"/>
        <w:gridCol w:w="2223"/>
      </w:tblGrid>
      <w:tr w:rsidR="004F7C6A" w:rsidRPr="00EC16DE" w14:paraId="3487977E" w14:textId="77777777" w:rsidTr="004817A4">
        <w:tc>
          <w:tcPr>
            <w:tcW w:w="1793" w:type="dxa"/>
          </w:tcPr>
          <w:p w14:paraId="79C63A6B" w14:textId="77777777" w:rsidR="004F7C6A" w:rsidRPr="00EC16DE" w:rsidRDefault="004F7C6A" w:rsidP="004817A4">
            <w:pPr>
              <w:rPr>
                <w:rFonts w:cstheme="minorHAnsi"/>
                <w:b/>
                <w:bCs/>
                <w:color w:val="AAB536"/>
                <w:sz w:val="20"/>
                <w:szCs w:val="20"/>
                <w:shd w:val="clear" w:color="auto" w:fill="FFFFFF"/>
              </w:rPr>
            </w:pPr>
            <w:r w:rsidRPr="00EC16DE">
              <w:rPr>
                <w:rFonts w:cstheme="minorHAnsi"/>
                <w:b/>
                <w:bCs/>
                <w:color w:val="AAB536"/>
                <w:sz w:val="20"/>
                <w:szCs w:val="20"/>
                <w:shd w:val="clear" w:color="auto" w:fill="FFFFFF"/>
              </w:rPr>
              <w:t xml:space="preserve">Measure </w:t>
            </w:r>
          </w:p>
        </w:tc>
        <w:tc>
          <w:tcPr>
            <w:tcW w:w="5006" w:type="dxa"/>
          </w:tcPr>
          <w:p w14:paraId="44BC0126" w14:textId="77777777" w:rsidR="004F7C6A" w:rsidRPr="00EC16DE" w:rsidRDefault="004F7C6A" w:rsidP="004817A4">
            <w:pPr>
              <w:rPr>
                <w:rFonts w:cstheme="minorHAnsi"/>
                <w:b/>
                <w:bCs/>
                <w:color w:val="AAB536"/>
                <w:sz w:val="20"/>
                <w:szCs w:val="20"/>
                <w:shd w:val="clear" w:color="auto" w:fill="FFFFFF"/>
              </w:rPr>
            </w:pPr>
            <w:r w:rsidRPr="00EC16DE">
              <w:rPr>
                <w:rFonts w:cstheme="minorHAnsi"/>
                <w:b/>
                <w:bCs/>
                <w:color w:val="AAB536"/>
                <w:sz w:val="20"/>
                <w:szCs w:val="20"/>
                <w:shd w:val="clear" w:color="auto" w:fill="FFFFFF"/>
              </w:rPr>
              <w:t>QA Activity</w:t>
            </w:r>
          </w:p>
        </w:tc>
        <w:tc>
          <w:tcPr>
            <w:tcW w:w="2223" w:type="dxa"/>
          </w:tcPr>
          <w:p w14:paraId="7B84E664" w14:textId="77777777" w:rsidR="004F7C6A" w:rsidRPr="00EC16DE" w:rsidRDefault="004F7C6A" w:rsidP="004817A4">
            <w:pPr>
              <w:rPr>
                <w:rFonts w:cstheme="minorHAnsi"/>
                <w:b/>
                <w:bCs/>
                <w:color w:val="AAB536"/>
                <w:sz w:val="20"/>
                <w:szCs w:val="20"/>
                <w:shd w:val="clear" w:color="auto" w:fill="FFFFFF"/>
              </w:rPr>
            </w:pPr>
            <w:r w:rsidRPr="00EC16DE">
              <w:rPr>
                <w:rFonts w:cstheme="minorHAnsi"/>
                <w:b/>
                <w:bCs/>
                <w:color w:val="AAB536"/>
                <w:sz w:val="20"/>
                <w:szCs w:val="20"/>
                <w:shd w:val="clear" w:color="auto" w:fill="FFFFFF"/>
              </w:rPr>
              <w:t>Performance Indicators</w:t>
            </w:r>
          </w:p>
        </w:tc>
      </w:tr>
      <w:tr w:rsidR="004F7C6A" w:rsidRPr="00EC16DE" w14:paraId="5B6AAA90" w14:textId="77777777" w:rsidTr="004817A4">
        <w:trPr>
          <w:trHeight w:val="300"/>
        </w:trPr>
        <w:tc>
          <w:tcPr>
            <w:tcW w:w="1793" w:type="dxa"/>
            <w:hideMark/>
          </w:tcPr>
          <w:p w14:paraId="50CB9EB4" w14:textId="77777777" w:rsidR="004F7C6A" w:rsidRPr="00EC16DE" w:rsidRDefault="004F7C6A" w:rsidP="00481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C16D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Core Values </w:t>
            </w:r>
          </w:p>
        </w:tc>
        <w:tc>
          <w:tcPr>
            <w:tcW w:w="5006" w:type="dxa"/>
            <w:hideMark/>
          </w:tcPr>
          <w:p w14:paraId="2E9448BE" w14:textId="77777777" w:rsidR="004F7C6A" w:rsidRPr="00EC16DE" w:rsidRDefault="004F7C6A" w:rsidP="00481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C16D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Demonstrated Core Values</w:t>
            </w:r>
          </w:p>
        </w:tc>
        <w:tc>
          <w:tcPr>
            <w:tcW w:w="2223" w:type="dxa"/>
            <w:hideMark/>
          </w:tcPr>
          <w:p w14:paraId="09B76357" w14:textId="77777777" w:rsidR="004F7C6A" w:rsidRPr="00EC16DE" w:rsidRDefault="004F7C6A" w:rsidP="00481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EC16D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(RAG) Green</w:t>
            </w:r>
          </w:p>
        </w:tc>
      </w:tr>
      <w:tr w:rsidR="004F7C6A" w:rsidRPr="00EC16DE" w14:paraId="0AEF94D4" w14:textId="77777777" w:rsidTr="004817A4">
        <w:trPr>
          <w:trHeight w:val="492"/>
        </w:trPr>
        <w:tc>
          <w:tcPr>
            <w:tcW w:w="1793" w:type="dxa"/>
          </w:tcPr>
          <w:p w14:paraId="2BF1C733" w14:textId="290E56FE" w:rsidR="004F7C6A" w:rsidRPr="00EC16DE" w:rsidRDefault="00007D0A" w:rsidP="00481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Delivery</w:t>
            </w:r>
          </w:p>
        </w:tc>
        <w:tc>
          <w:tcPr>
            <w:tcW w:w="5006" w:type="dxa"/>
          </w:tcPr>
          <w:p w14:paraId="7573C491" w14:textId="77777777" w:rsidR="004F7C6A" w:rsidRPr="00EC16DE" w:rsidRDefault="004F7C6A" w:rsidP="004817A4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EC16DE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All learner work 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to </w:t>
            </w:r>
            <w:r w:rsidRPr="00EC16DE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be marked within one month of being uploaded to Learning Assistant</w:t>
            </w:r>
          </w:p>
        </w:tc>
        <w:tc>
          <w:tcPr>
            <w:tcW w:w="2223" w:type="dxa"/>
            <w:noWrap/>
          </w:tcPr>
          <w:p w14:paraId="7548F518" w14:textId="77777777" w:rsidR="004F7C6A" w:rsidRPr="00EC16DE" w:rsidRDefault="004F7C6A" w:rsidP="00481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4F7C6A" w:rsidRPr="00EC16DE" w14:paraId="08F2078F" w14:textId="77777777" w:rsidTr="004817A4">
        <w:trPr>
          <w:trHeight w:val="320"/>
        </w:trPr>
        <w:tc>
          <w:tcPr>
            <w:tcW w:w="1793" w:type="dxa"/>
            <w:vMerge w:val="restart"/>
          </w:tcPr>
          <w:p w14:paraId="242D4D47" w14:textId="77777777" w:rsidR="004F7C6A" w:rsidRPr="00EC16DE" w:rsidRDefault="004F7C6A" w:rsidP="00481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Performance &amp; Conformance</w:t>
            </w:r>
          </w:p>
        </w:tc>
        <w:tc>
          <w:tcPr>
            <w:tcW w:w="5006" w:type="dxa"/>
          </w:tcPr>
          <w:p w14:paraId="78FA6279" w14:textId="77777777" w:rsidR="004F7C6A" w:rsidRPr="00EC16DE" w:rsidRDefault="004F7C6A" w:rsidP="004817A4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L</w:t>
            </w:r>
            <w:r w:rsidRPr="00EC16DE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earner attainmen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t rate of 90%</w:t>
            </w:r>
          </w:p>
        </w:tc>
        <w:tc>
          <w:tcPr>
            <w:tcW w:w="2223" w:type="dxa"/>
            <w:noWrap/>
          </w:tcPr>
          <w:p w14:paraId="38A0B950" w14:textId="77777777" w:rsidR="004F7C6A" w:rsidRPr="00EC16DE" w:rsidRDefault="004F7C6A" w:rsidP="00481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4F7C6A" w:rsidRPr="00EC16DE" w14:paraId="68A92C09" w14:textId="77777777" w:rsidTr="004817A4">
        <w:trPr>
          <w:trHeight w:val="283"/>
        </w:trPr>
        <w:tc>
          <w:tcPr>
            <w:tcW w:w="1793" w:type="dxa"/>
            <w:vMerge/>
            <w:noWrap/>
          </w:tcPr>
          <w:p w14:paraId="4818B617" w14:textId="77777777" w:rsidR="004F7C6A" w:rsidRPr="00EC16DE" w:rsidRDefault="004F7C6A" w:rsidP="00481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6" w:type="dxa"/>
          </w:tcPr>
          <w:p w14:paraId="770E7295" w14:textId="77777777" w:rsidR="004F7C6A" w:rsidRPr="00EC16DE" w:rsidRDefault="004F7C6A" w:rsidP="004817A4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T</w:t>
            </w:r>
            <w:r w:rsidRPr="00EC16DE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imely achievement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rate of 85%</w:t>
            </w:r>
          </w:p>
        </w:tc>
        <w:tc>
          <w:tcPr>
            <w:tcW w:w="2223" w:type="dxa"/>
            <w:noWrap/>
          </w:tcPr>
          <w:p w14:paraId="004EC35B" w14:textId="77777777" w:rsidR="004F7C6A" w:rsidRPr="00EC16DE" w:rsidRDefault="004F7C6A" w:rsidP="00481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71CF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  <w:tr w:rsidR="004F7C6A" w:rsidRPr="00EC16DE" w14:paraId="21A3322D" w14:textId="77777777" w:rsidTr="004817A4">
        <w:trPr>
          <w:trHeight w:val="283"/>
        </w:trPr>
        <w:tc>
          <w:tcPr>
            <w:tcW w:w="1793" w:type="dxa"/>
            <w:vMerge/>
            <w:noWrap/>
          </w:tcPr>
          <w:p w14:paraId="3D0B3508" w14:textId="77777777" w:rsidR="004F7C6A" w:rsidRPr="00EC16DE" w:rsidRDefault="004F7C6A" w:rsidP="00481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5006" w:type="dxa"/>
          </w:tcPr>
          <w:p w14:paraId="71FE3B03" w14:textId="77777777" w:rsidR="004F7C6A" w:rsidRDefault="004F7C6A" w:rsidP="004817A4">
            <w:pPr>
              <w:rPr>
                <w:rFonts w:cstheme="minorHAnsi"/>
                <w:bCs/>
                <w:sz w:val="20"/>
                <w:szCs w:val="20"/>
                <w:shd w:val="clear" w:color="auto" w:fill="FFFFFF"/>
              </w:rPr>
            </w:pPr>
            <w:r w:rsidRPr="00EC16DE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Achieve all relevant ES qualifications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, equal to or below </w:t>
            </w:r>
            <w:r w:rsidRPr="00EC16DE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10 months from learner start date</w:t>
            </w:r>
          </w:p>
        </w:tc>
        <w:tc>
          <w:tcPr>
            <w:tcW w:w="2223" w:type="dxa"/>
            <w:noWrap/>
          </w:tcPr>
          <w:p w14:paraId="412ACA64" w14:textId="77777777" w:rsidR="004F7C6A" w:rsidRPr="00B71CFE" w:rsidRDefault="004F7C6A" w:rsidP="004817A4">
            <w:pP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B71CFE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100%</w:t>
            </w:r>
          </w:p>
        </w:tc>
      </w:tr>
    </w:tbl>
    <w:p w14:paraId="7EA6AA7E" w14:textId="77777777" w:rsidR="00E0606B" w:rsidRPr="00D76511" w:rsidRDefault="00E0606B" w:rsidP="00607F91">
      <w:pPr>
        <w:rPr>
          <w:rFonts w:ascii="Calibri" w:hAnsi="Calibri" w:cs="Arial"/>
          <w:b/>
          <w:bCs/>
          <w:sz w:val="20"/>
          <w:szCs w:val="20"/>
          <w:shd w:val="clear" w:color="auto" w:fill="FFFFFF"/>
        </w:rPr>
      </w:pPr>
    </w:p>
    <w:p w14:paraId="0BECD65D" w14:textId="1E22EE7B" w:rsidR="004939BD" w:rsidRPr="009E44C6" w:rsidRDefault="003052F8" w:rsidP="004939BD">
      <w:pPr>
        <w:pStyle w:val="PortalHeading1"/>
        <w:rPr>
          <w:b w:val="0"/>
          <w:color w:val="AAB53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B03F04" wp14:editId="7A67DE6D">
            <wp:simplePos x="0" y="0"/>
            <wp:positionH relativeFrom="margin">
              <wp:align>center</wp:align>
            </wp:positionH>
            <wp:positionV relativeFrom="paragraph">
              <wp:posOffset>271780</wp:posOffset>
            </wp:positionV>
            <wp:extent cx="2492375" cy="206502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9BD" w:rsidRPr="009E44C6">
        <w:rPr>
          <w:color w:val="AAB536"/>
          <w:shd w:val="clear" w:color="auto" w:fill="FFFFFF"/>
        </w:rPr>
        <w:t>Portal Values</w:t>
      </w:r>
    </w:p>
    <w:p w14:paraId="205B5E67" w14:textId="045DD0E1" w:rsidR="004939BD" w:rsidRPr="004939BD" w:rsidRDefault="004939BD" w:rsidP="004939BD">
      <w:pPr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275AA472" w14:textId="77777777" w:rsidR="005478D6" w:rsidRDefault="005478D6" w:rsidP="00BF116F">
      <w:pPr>
        <w:pStyle w:val="PortalHeading1"/>
        <w:rPr>
          <w:shd w:val="clear" w:color="auto" w:fill="FFFFFF"/>
        </w:rPr>
      </w:pPr>
    </w:p>
    <w:p w14:paraId="694D9937" w14:textId="1E819B10" w:rsidR="00607F91" w:rsidRDefault="00607F91" w:rsidP="00834AA7">
      <w:pPr>
        <w:jc w:val="center"/>
        <w:rPr>
          <w:rFonts w:ascii="Calibri" w:hAnsi="Calibri" w:cs="Arial"/>
          <w:bCs/>
          <w:color w:val="404040" w:themeColor="text1" w:themeTint="BF"/>
          <w:sz w:val="20"/>
          <w:szCs w:val="20"/>
          <w:shd w:val="clear" w:color="auto" w:fill="FFFFFF"/>
        </w:rPr>
      </w:pPr>
    </w:p>
    <w:p w14:paraId="118782E0" w14:textId="2525A65C" w:rsidR="007F3561" w:rsidRPr="003052F8" w:rsidRDefault="007F3561" w:rsidP="003052F8">
      <w:pPr>
        <w:tabs>
          <w:tab w:val="left" w:pos="2328"/>
        </w:tabs>
        <w:rPr>
          <w:rFonts w:eastAsia="Times New Roman"/>
        </w:rPr>
      </w:pPr>
    </w:p>
    <w:sectPr w:rsidR="007F3561" w:rsidRPr="003052F8" w:rsidSect="00FE0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45213" w14:textId="77777777" w:rsidR="0060792D" w:rsidRDefault="0060792D" w:rsidP="000404DF">
      <w:pPr>
        <w:spacing w:after="0" w:line="240" w:lineRule="auto"/>
      </w:pPr>
      <w:r>
        <w:separator/>
      </w:r>
    </w:p>
  </w:endnote>
  <w:endnote w:type="continuationSeparator" w:id="0">
    <w:p w14:paraId="5EBAEF02" w14:textId="77777777" w:rsidR="0060792D" w:rsidRDefault="0060792D" w:rsidP="0004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6558F" w14:textId="787EBAE3" w:rsidR="00D05A87" w:rsidRPr="009E4625" w:rsidRDefault="00D05A87" w:rsidP="00D05A87">
    <w:pPr>
      <w:pStyle w:val="Footer"/>
      <w:tabs>
        <w:tab w:val="clear" w:pos="4513"/>
        <w:tab w:val="clear" w:pos="9026"/>
        <w:tab w:val="left" w:pos="1884"/>
      </w:tabs>
      <w:rPr>
        <w:color w:val="FF000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11629" w:rsidRPr="00911629">
      <w:t>1</w:t>
    </w:r>
    <w:r w:rsidR="007736C8">
      <w:t>7</w:t>
    </w:r>
    <w:r w:rsidR="00911629" w:rsidRPr="00911629">
      <w:t>/12</w:t>
    </w:r>
    <w:r w:rsidRPr="00911629">
      <w:t>/2019</w:t>
    </w:r>
    <w:r w:rsidR="00630CF2" w:rsidRPr="00911629">
      <w:t xml:space="preserve"> 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8067" w14:textId="77777777" w:rsidR="0060792D" w:rsidRDefault="0060792D" w:rsidP="000404DF">
      <w:pPr>
        <w:spacing w:after="0" w:line="240" w:lineRule="auto"/>
      </w:pPr>
      <w:r>
        <w:separator/>
      </w:r>
    </w:p>
  </w:footnote>
  <w:footnote w:type="continuationSeparator" w:id="0">
    <w:p w14:paraId="5A57FCDD" w14:textId="77777777" w:rsidR="0060792D" w:rsidRDefault="0060792D" w:rsidP="0004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A9DB8" w14:textId="77777777" w:rsidR="004235D0" w:rsidRDefault="00874BB2">
    <w:pPr>
      <w:pStyle w:val="Header"/>
    </w:pPr>
    <w:r>
      <w:rPr>
        <w:noProof/>
        <w:lang w:eastAsia="en-GB"/>
      </w:rPr>
      <w:pict w14:anchorId="411B4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1228.8pt;height:921.6pt;z-index:-251657216;mso-position-horizontal:center;mso-position-horizontal-relative:margin;mso-position-vertical:center;mso-position-vertical-relative:margin" o:allowincell="f">
          <v:imagedata r:id="rId1" o:title="HR ad bitsX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BE05" w14:textId="77777777" w:rsidR="004235D0" w:rsidRDefault="00874BB2">
    <w:pPr>
      <w:pStyle w:val="Header"/>
    </w:pPr>
    <w:r>
      <w:rPr>
        <w:noProof/>
        <w:lang w:eastAsia="en-GB"/>
      </w:rPr>
      <w:pict w14:anchorId="4E8C23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424pt;margin-top:-108.95pt;width:1228.8pt;height:921.6pt;z-index:-251658240;mso-position-horizontal-relative:margin;mso-position-vertical-relative:margin" o:allowincell="f">
          <v:imagedata r:id="rId1" o:title="HR ad bitsX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CB653" w14:textId="77777777" w:rsidR="004235D0" w:rsidRDefault="00874BB2">
    <w:pPr>
      <w:pStyle w:val="Header"/>
    </w:pPr>
    <w:r>
      <w:rPr>
        <w:noProof/>
        <w:lang w:eastAsia="en-GB"/>
      </w:rPr>
      <w:pict w14:anchorId="71332D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1228.8pt;height:921.6pt;z-index:-251656192;mso-position-horizontal:center;mso-position-horizontal-relative:margin;mso-position-vertical:center;mso-position-vertical-relative:margin" o:allowincell="f">
          <v:imagedata r:id="rId1" o:title="HR ad bitsX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07F1"/>
    <w:multiLevelType w:val="hybridMultilevel"/>
    <w:tmpl w:val="D4E01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94"/>
    <w:multiLevelType w:val="multilevel"/>
    <w:tmpl w:val="022CC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2" w15:restartNumberingAfterBreak="0">
    <w:nsid w:val="0F1C6A6C"/>
    <w:multiLevelType w:val="hybridMultilevel"/>
    <w:tmpl w:val="5A24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D5315"/>
    <w:multiLevelType w:val="hybridMultilevel"/>
    <w:tmpl w:val="0926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30EBA"/>
    <w:multiLevelType w:val="hybridMultilevel"/>
    <w:tmpl w:val="FC0A8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1188A"/>
    <w:multiLevelType w:val="hybridMultilevel"/>
    <w:tmpl w:val="11BA50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1A53"/>
    <w:multiLevelType w:val="hybridMultilevel"/>
    <w:tmpl w:val="2DA6B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C7011"/>
    <w:multiLevelType w:val="hybridMultilevel"/>
    <w:tmpl w:val="0600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C7FF3"/>
    <w:multiLevelType w:val="hybridMultilevel"/>
    <w:tmpl w:val="BA1E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E70"/>
    <w:multiLevelType w:val="hybridMultilevel"/>
    <w:tmpl w:val="2CC29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136DA"/>
    <w:multiLevelType w:val="hybridMultilevel"/>
    <w:tmpl w:val="F9AA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24C57"/>
    <w:multiLevelType w:val="hybridMultilevel"/>
    <w:tmpl w:val="C2D0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70460"/>
    <w:multiLevelType w:val="hybridMultilevel"/>
    <w:tmpl w:val="F2C86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42FBC"/>
    <w:multiLevelType w:val="multilevel"/>
    <w:tmpl w:val="E1E47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B045F"/>
    <w:multiLevelType w:val="hybridMultilevel"/>
    <w:tmpl w:val="AEAA2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B1F28"/>
    <w:multiLevelType w:val="hybridMultilevel"/>
    <w:tmpl w:val="FEBC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019AA"/>
    <w:multiLevelType w:val="hybridMultilevel"/>
    <w:tmpl w:val="748A3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36FAE"/>
    <w:multiLevelType w:val="hybridMultilevel"/>
    <w:tmpl w:val="903A9146"/>
    <w:lvl w:ilvl="0" w:tplc="A398B1D4">
      <w:start w:val="7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2090B"/>
    <w:multiLevelType w:val="hybridMultilevel"/>
    <w:tmpl w:val="08447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2C0FD6"/>
    <w:multiLevelType w:val="hybridMultilevel"/>
    <w:tmpl w:val="71483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2EEE"/>
    <w:multiLevelType w:val="hybridMultilevel"/>
    <w:tmpl w:val="DE7CB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B7C43"/>
    <w:multiLevelType w:val="hybridMultilevel"/>
    <w:tmpl w:val="D39EE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C3E07"/>
    <w:multiLevelType w:val="hybridMultilevel"/>
    <w:tmpl w:val="7D4E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002DD"/>
    <w:multiLevelType w:val="multilevel"/>
    <w:tmpl w:val="2C26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91051"/>
    <w:multiLevelType w:val="hybridMultilevel"/>
    <w:tmpl w:val="6C1C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5434A"/>
    <w:multiLevelType w:val="hybridMultilevel"/>
    <w:tmpl w:val="71D8C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47390"/>
    <w:multiLevelType w:val="hybridMultilevel"/>
    <w:tmpl w:val="5FEAF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85540"/>
    <w:multiLevelType w:val="hybridMultilevel"/>
    <w:tmpl w:val="952E8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13501"/>
    <w:multiLevelType w:val="hybridMultilevel"/>
    <w:tmpl w:val="65304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F1E55"/>
    <w:multiLevelType w:val="hybridMultilevel"/>
    <w:tmpl w:val="9F505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F69A2"/>
    <w:multiLevelType w:val="hybridMultilevel"/>
    <w:tmpl w:val="0D8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5"/>
  </w:num>
  <w:num w:numId="4">
    <w:abstractNumId w:val="16"/>
  </w:num>
  <w:num w:numId="5">
    <w:abstractNumId w:val="30"/>
  </w:num>
  <w:num w:numId="6">
    <w:abstractNumId w:val="4"/>
  </w:num>
  <w:num w:numId="7">
    <w:abstractNumId w:val="13"/>
  </w:num>
  <w:num w:numId="8">
    <w:abstractNumId w:val="1"/>
  </w:num>
  <w:num w:numId="9">
    <w:abstractNumId w:val="2"/>
  </w:num>
  <w:num w:numId="10">
    <w:abstractNumId w:val="29"/>
  </w:num>
  <w:num w:numId="11">
    <w:abstractNumId w:val="7"/>
  </w:num>
  <w:num w:numId="12">
    <w:abstractNumId w:val="27"/>
  </w:num>
  <w:num w:numId="13">
    <w:abstractNumId w:val="20"/>
  </w:num>
  <w:num w:numId="14">
    <w:abstractNumId w:val="12"/>
  </w:num>
  <w:num w:numId="15">
    <w:abstractNumId w:val="0"/>
  </w:num>
  <w:num w:numId="16">
    <w:abstractNumId w:val="28"/>
  </w:num>
  <w:num w:numId="17">
    <w:abstractNumId w:val="26"/>
  </w:num>
  <w:num w:numId="18">
    <w:abstractNumId w:val="21"/>
  </w:num>
  <w:num w:numId="19">
    <w:abstractNumId w:val="10"/>
  </w:num>
  <w:num w:numId="20">
    <w:abstractNumId w:val="9"/>
  </w:num>
  <w:num w:numId="21">
    <w:abstractNumId w:val="24"/>
  </w:num>
  <w:num w:numId="22">
    <w:abstractNumId w:val="19"/>
  </w:num>
  <w:num w:numId="23">
    <w:abstractNumId w:val="14"/>
  </w:num>
  <w:num w:numId="24">
    <w:abstractNumId w:val="22"/>
  </w:num>
  <w:num w:numId="25">
    <w:abstractNumId w:val="6"/>
  </w:num>
  <w:num w:numId="26">
    <w:abstractNumId w:val="18"/>
  </w:num>
  <w:num w:numId="27">
    <w:abstractNumId w:val="15"/>
  </w:num>
  <w:num w:numId="28">
    <w:abstractNumId w:val="11"/>
  </w:num>
  <w:num w:numId="29">
    <w:abstractNumId w:val="25"/>
  </w:num>
  <w:num w:numId="30">
    <w:abstractNumId w:val="3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91"/>
    <w:rsid w:val="00004380"/>
    <w:rsid w:val="0000440F"/>
    <w:rsid w:val="00007D0A"/>
    <w:rsid w:val="000163BA"/>
    <w:rsid w:val="00017515"/>
    <w:rsid w:val="00020317"/>
    <w:rsid w:val="00030890"/>
    <w:rsid w:val="000404DF"/>
    <w:rsid w:val="000453F6"/>
    <w:rsid w:val="00050706"/>
    <w:rsid w:val="00052FB5"/>
    <w:rsid w:val="0006564C"/>
    <w:rsid w:val="00070EF1"/>
    <w:rsid w:val="000711F7"/>
    <w:rsid w:val="00077BB0"/>
    <w:rsid w:val="000800FE"/>
    <w:rsid w:val="000A2E35"/>
    <w:rsid w:val="000B5432"/>
    <w:rsid w:val="000D4DE0"/>
    <w:rsid w:val="00101092"/>
    <w:rsid w:val="0010615B"/>
    <w:rsid w:val="00145A75"/>
    <w:rsid w:val="001715D7"/>
    <w:rsid w:val="0017764C"/>
    <w:rsid w:val="00187FE5"/>
    <w:rsid w:val="00195858"/>
    <w:rsid w:val="001A08CC"/>
    <w:rsid w:val="001C346F"/>
    <w:rsid w:val="001C514B"/>
    <w:rsid w:val="001C7375"/>
    <w:rsid w:val="001E7537"/>
    <w:rsid w:val="001F4331"/>
    <w:rsid w:val="00206A12"/>
    <w:rsid w:val="00263FAF"/>
    <w:rsid w:val="002651EF"/>
    <w:rsid w:val="00296160"/>
    <w:rsid w:val="002A7380"/>
    <w:rsid w:val="002B1364"/>
    <w:rsid w:val="002C018A"/>
    <w:rsid w:val="002D045C"/>
    <w:rsid w:val="002E1619"/>
    <w:rsid w:val="002F4662"/>
    <w:rsid w:val="00303A52"/>
    <w:rsid w:val="003052F8"/>
    <w:rsid w:val="00310E12"/>
    <w:rsid w:val="0033568F"/>
    <w:rsid w:val="00335817"/>
    <w:rsid w:val="003536F9"/>
    <w:rsid w:val="0036220F"/>
    <w:rsid w:val="00365221"/>
    <w:rsid w:val="00383F23"/>
    <w:rsid w:val="00385EF1"/>
    <w:rsid w:val="003932C1"/>
    <w:rsid w:val="00395E99"/>
    <w:rsid w:val="003D62B5"/>
    <w:rsid w:val="003E737F"/>
    <w:rsid w:val="003F1D52"/>
    <w:rsid w:val="003F536C"/>
    <w:rsid w:val="00413E6F"/>
    <w:rsid w:val="004235D0"/>
    <w:rsid w:val="004339A3"/>
    <w:rsid w:val="00455776"/>
    <w:rsid w:val="00460A73"/>
    <w:rsid w:val="004866A3"/>
    <w:rsid w:val="004939BD"/>
    <w:rsid w:val="004B0009"/>
    <w:rsid w:val="004B6445"/>
    <w:rsid w:val="004E09B0"/>
    <w:rsid w:val="004F06B6"/>
    <w:rsid w:val="004F68C6"/>
    <w:rsid w:val="004F7C6A"/>
    <w:rsid w:val="00510919"/>
    <w:rsid w:val="00520D06"/>
    <w:rsid w:val="0053758C"/>
    <w:rsid w:val="005478D6"/>
    <w:rsid w:val="00585920"/>
    <w:rsid w:val="005960B3"/>
    <w:rsid w:val="005974C1"/>
    <w:rsid w:val="005B1823"/>
    <w:rsid w:val="005B25B4"/>
    <w:rsid w:val="005B5742"/>
    <w:rsid w:val="005D485D"/>
    <w:rsid w:val="005D54D5"/>
    <w:rsid w:val="005E2F12"/>
    <w:rsid w:val="005F6016"/>
    <w:rsid w:val="00602750"/>
    <w:rsid w:val="00606EF7"/>
    <w:rsid w:val="0060792D"/>
    <w:rsid w:val="00607F91"/>
    <w:rsid w:val="00627C40"/>
    <w:rsid w:val="00630CF2"/>
    <w:rsid w:val="006458EF"/>
    <w:rsid w:val="0065603C"/>
    <w:rsid w:val="00666B66"/>
    <w:rsid w:val="00683C49"/>
    <w:rsid w:val="00686408"/>
    <w:rsid w:val="006B28EC"/>
    <w:rsid w:val="006D2D69"/>
    <w:rsid w:val="006F43D0"/>
    <w:rsid w:val="007021E0"/>
    <w:rsid w:val="007043B8"/>
    <w:rsid w:val="00705DCE"/>
    <w:rsid w:val="0070632B"/>
    <w:rsid w:val="00715AE8"/>
    <w:rsid w:val="00722908"/>
    <w:rsid w:val="00722C51"/>
    <w:rsid w:val="00723877"/>
    <w:rsid w:val="007444E9"/>
    <w:rsid w:val="0074648F"/>
    <w:rsid w:val="007514F3"/>
    <w:rsid w:val="00770A1C"/>
    <w:rsid w:val="007723CF"/>
    <w:rsid w:val="007736C8"/>
    <w:rsid w:val="00782F10"/>
    <w:rsid w:val="00794991"/>
    <w:rsid w:val="007F3561"/>
    <w:rsid w:val="008335E6"/>
    <w:rsid w:val="00834361"/>
    <w:rsid w:val="00834AA7"/>
    <w:rsid w:val="0085315D"/>
    <w:rsid w:val="008606AA"/>
    <w:rsid w:val="00874BB2"/>
    <w:rsid w:val="00886AF8"/>
    <w:rsid w:val="00887B02"/>
    <w:rsid w:val="0089471A"/>
    <w:rsid w:val="00895A00"/>
    <w:rsid w:val="008B0113"/>
    <w:rsid w:val="008B41CC"/>
    <w:rsid w:val="008C0CC1"/>
    <w:rsid w:val="008C3554"/>
    <w:rsid w:val="008C6AD5"/>
    <w:rsid w:val="008F5194"/>
    <w:rsid w:val="00911629"/>
    <w:rsid w:val="00920129"/>
    <w:rsid w:val="009A2394"/>
    <w:rsid w:val="009A4D9D"/>
    <w:rsid w:val="009B52C5"/>
    <w:rsid w:val="009D5A91"/>
    <w:rsid w:val="009E3216"/>
    <w:rsid w:val="009E4625"/>
    <w:rsid w:val="009F43FE"/>
    <w:rsid w:val="00A02EC8"/>
    <w:rsid w:val="00A33C8A"/>
    <w:rsid w:val="00A409BC"/>
    <w:rsid w:val="00A44F8E"/>
    <w:rsid w:val="00A50CCE"/>
    <w:rsid w:val="00A54993"/>
    <w:rsid w:val="00A70340"/>
    <w:rsid w:val="00AA7A68"/>
    <w:rsid w:val="00AB13F9"/>
    <w:rsid w:val="00AC4EAD"/>
    <w:rsid w:val="00AE0890"/>
    <w:rsid w:val="00AF0731"/>
    <w:rsid w:val="00B1313C"/>
    <w:rsid w:val="00B5271B"/>
    <w:rsid w:val="00B6264D"/>
    <w:rsid w:val="00B742CA"/>
    <w:rsid w:val="00B958E2"/>
    <w:rsid w:val="00BA4041"/>
    <w:rsid w:val="00BB0D2E"/>
    <w:rsid w:val="00BB0F5F"/>
    <w:rsid w:val="00BB3F5A"/>
    <w:rsid w:val="00BD0B37"/>
    <w:rsid w:val="00BF116F"/>
    <w:rsid w:val="00C27526"/>
    <w:rsid w:val="00C50ED8"/>
    <w:rsid w:val="00C5526E"/>
    <w:rsid w:val="00C611EE"/>
    <w:rsid w:val="00C92877"/>
    <w:rsid w:val="00C938D7"/>
    <w:rsid w:val="00CC4C30"/>
    <w:rsid w:val="00CD6E3C"/>
    <w:rsid w:val="00CD7D36"/>
    <w:rsid w:val="00D05A87"/>
    <w:rsid w:val="00D17B78"/>
    <w:rsid w:val="00D36293"/>
    <w:rsid w:val="00D63003"/>
    <w:rsid w:val="00D67F2A"/>
    <w:rsid w:val="00D76511"/>
    <w:rsid w:val="00D80D41"/>
    <w:rsid w:val="00D93595"/>
    <w:rsid w:val="00DA3321"/>
    <w:rsid w:val="00DC5A68"/>
    <w:rsid w:val="00DF15DE"/>
    <w:rsid w:val="00DF1AED"/>
    <w:rsid w:val="00DF53FE"/>
    <w:rsid w:val="00DF7762"/>
    <w:rsid w:val="00DF7E4F"/>
    <w:rsid w:val="00E0237F"/>
    <w:rsid w:val="00E02890"/>
    <w:rsid w:val="00E056CF"/>
    <w:rsid w:val="00E0606B"/>
    <w:rsid w:val="00E153A5"/>
    <w:rsid w:val="00E16E21"/>
    <w:rsid w:val="00E31C9F"/>
    <w:rsid w:val="00E32EA3"/>
    <w:rsid w:val="00E51FA6"/>
    <w:rsid w:val="00EC15BE"/>
    <w:rsid w:val="00EC16DE"/>
    <w:rsid w:val="00EC4DB0"/>
    <w:rsid w:val="00EC6DCD"/>
    <w:rsid w:val="00ED3CDB"/>
    <w:rsid w:val="00EF0377"/>
    <w:rsid w:val="00EF55D2"/>
    <w:rsid w:val="00F053D8"/>
    <w:rsid w:val="00F148BE"/>
    <w:rsid w:val="00F2264E"/>
    <w:rsid w:val="00F4765F"/>
    <w:rsid w:val="00F47E56"/>
    <w:rsid w:val="00F7269A"/>
    <w:rsid w:val="00F86A18"/>
    <w:rsid w:val="00F93A7E"/>
    <w:rsid w:val="00FA5410"/>
    <w:rsid w:val="00FB047F"/>
    <w:rsid w:val="00FB2AAB"/>
    <w:rsid w:val="00FB7E0B"/>
    <w:rsid w:val="00FC2636"/>
    <w:rsid w:val="00FE05F3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99EB49"/>
  <w15:docId w15:val="{C7451168-2EA3-4040-B98A-8A0E3B5E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5F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1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50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A5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50ED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C50ED8"/>
    <w:rPr>
      <w:b/>
      <w:bCs/>
    </w:rPr>
  </w:style>
  <w:style w:type="paragraph" w:customStyle="1" w:styleId="PortalHeading1">
    <w:name w:val="Portal Heading 1"/>
    <w:basedOn w:val="Heading2"/>
    <w:qFormat/>
    <w:rsid w:val="00077BB0"/>
    <w:pPr>
      <w:spacing w:before="360" w:line="240" w:lineRule="auto"/>
      <w:jc w:val="both"/>
    </w:pPr>
    <w:rPr>
      <w:rFonts w:ascii="Calibri" w:eastAsia="MS Gothic" w:hAnsi="Calibri" w:cs="Arial"/>
      <w:b/>
      <w:bCs/>
      <w:color w:val="99AA33"/>
      <w:sz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11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4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DF"/>
  </w:style>
  <w:style w:type="paragraph" w:styleId="Footer">
    <w:name w:val="footer"/>
    <w:basedOn w:val="Normal"/>
    <w:link w:val="FooterChar"/>
    <w:uiPriority w:val="99"/>
    <w:unhideWhenUsed/>
    <w:rsid w:val="0004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DF"/>
  </w:style>
  <w:style w:type="paragraph" w:styleId="BalloonText">
    <w:name w:val="Balloon Text"/>
    <w:basedOn w:val="Normal"/>
    <w:link w:val="BalloonTextChar"/>
    <w:uiPriority w:val="99"/>
    <w:semiHidden/>
    <w:unhideWhenUsed/>
    <w:rsid w:val="0089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A0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4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4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4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4E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F3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10F2557ADB74DB54C8DAF0E6D04BF" ma:contentTypeVersion="12" ma:contentTypeDescription="Create a new document." ma:contentTypeScope="" ma:versionID="1a81f0a0df9b2d01efe28f0e48c427bf">
  <xsd:schema xmlns:xsd="http://www.w3.org/2001/XMLSchema" xmlns:xs="http://www.w3.org/2001/XMLSchema" xmlns:p="http://schemas.microsoft.com/office/2006/metadata/properties" xmlns:ns1="http://schemas.microsoft.com/sharepoint/v3" xmlns:ns2="5bcc1abf-0570-4566-bc53-2298d009b6a4" xmlns:ns3="0ad4758b-38df-4d81-b011-adbde52ce947" targetNamespace="http://schemas.microsoft.com/office/2006/metadata/properties" ma:root="true" ma:fieldsID="7c2c0d9531fae93a127a6ef93735f814" ns1:_="" ns2:_="" ns3:_="">
    <xsd:import namespace="http://schemas.microsoft.com/sharepoint/v3"/>
    <xsd:import namespace="5bcc1abf-0570-4566-bc53-2298d009b6a4"/>
    <xsd:import namespace="0ad4758b-38df-4d81-b011-adbde52ce9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1abf-0570-4566-bc53-2298d009b6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4758b-38df-4d81-b011-adbde52ce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83E97-7943-49FD-901E-42AA9C25C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cc1abf-0570-4566-bc53-2298d009b6a4"/>
    <ds:schemaRef ds:uri="0ad4758b-38df-4d81-b011-adbde52ce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029CD-4179-48C2-93A4-33ABB7D95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3CE40-8CB3-4F19-8CA0-E18B45E8DE57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0ad4758b-38df-4d81-b011-adbde52ce947"/>
    <ds:schemaRef ds:uri="http://schemas.openxmlformats.org/package/2006/metadata/core-properties"/>
    <ds:schemaRef ds:uri="5bcc1abf-0570-4566-bc53-2298d009b6a4"/>
  </ds:schemaRefs>
</ds:datastoreItem>
</file>

<file path=customXml/itemProps4.xml><?xml version="1.0" encoding="utf-8"?>
<ds:datastoreItem xmlns:ds="http://schemas.openxmlformats.org/officeDocument/2006/customXml" ds:itemID="{AE3E90CC-9708-4A6C-9185-1EF149BE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    Line Manager/responsible to: Contracts Manager and allocated Internal Quality As</vt:lpstr>
      <vt:lpstr>    Responsible for: NA</vt:lpstr>
      <vt:lpstr>    Salary banding: £21,000 to £25,000 PA, PLUS additional £500 for delivery via Wel</vt:lpstr>
      <vt:lpstr>    Summary of Role</vt:lpstr>
      <vt:lpstr>    Delivery</vt:lpstr>
      <vt:lpstr>    Performance and Conformance</vt:lpstr>
      <vt:lpstr>    Monitor Learner reviews with actions reports and ensure actions are completed an</vt:lpstr>
      <vt:lpstr>    Monitor your learner provisional achievers list to ensure no learners are over 1</vt:lpstr>
      <vt:lpstr>    Support and effectively engage with learners to achieve attainment rates of 90%.</vt:lpstr>
      <vt:lpstr>    Ensure learners complete on or before their expected end date achieving a minimu</vt:lpstr>
      <vt:lpstr>    Complete reviews with learners monthly (maximum every 61 days) ensuring complian</vt:lpstr>
      <vt:lpstr>    Maintain regular contact with suspended learners ensuring that the Conformance O</vt:lpstr>
      <vt:lpstr>    Submit ELI information on or before the required review date.</vt:lpstr>
      <vt:lpstr>    Complete Health &amp; Safety monitoring forms as directed by Portal Conformance Offi</vt:lpstr>
      <vt:lpstr>    Ensure that learner Centre files are always regularly audited and audit ready. </vt:lpstr>
      <vt:lpstr>    Ensure that suspended learners are brought back on or before their expected retu</vt:lpstr>
      <vt:lpstr>    Complete all Welsh Government documentation fully to an excellent standard. </vt:lpstr>
      <vt:lpstr>    </vt:lpstr>
      <vt:lpstr>    </vt:lpstr>
      <vt:lpstr>    Quality Assurance</vt:lpstr>
      <vt:lpstr>    Compulsory attendance to all standardisation meetings to ensure effective and co</vt:lpstr>
      <vt:lpstr>    Positively engage with the IQA Team to ensure outstanding standards of delivery.</vt:lpstr>
      <vt:lpstr>    Complete all IQA action points by the agreed date.</vt:lpstr>
      <vt:lpstr>    Provide any information requested by Director of Quality, Qualifications Quality</vt:lpstr>
      <vt:lpstr>    Maintain positive, effective working relationships with your IQA and the wider Q</vt:lpstr>
      <vt:lpstr>    </vt:lpstr>
      <vt:lpstr>    Learner and Employer Engagement </vt:lpstr>
      <vt:lpstr>    General Duties</vt:lpstr>
      <vt:lpstr>    Personal Qualities</vt:lpstr>
      <vt:lpstr>    Essential Experience and Skills</vt:lpstr>
      <vt:lpstr>    Desirable Experience and Skills  </vt:lpstr>
      <vt:lpstr>    Key Performance Indicators</vt:lpstr>
      <vt:lpstr>    /Portal Values</vt:lpstr>
      <vt:lpstr>    </vt:lpstr>
    </vt:vector>
  </TitlesOfParts>
  <Company/>
  <LinksUpToDate>false</LinksUpToDate>
  <CharactersWithSpaces>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clare.jeffries</dc:creator>
  <cp:lastModifiedBy>Sarah Heenan</cp:lastModifiedBy>
  <cp:revision>46</cp:revision>
  <cp:lastPrinted>2019-01-28T13:07:00Z</cp:lastPrinted>
  <dcterms:created xsi:type="dcterms:W3CDTF">2019-12-09T16:09:00Z</dcterms:created>
  <dcterms:modified xsi:type="dcterms:W3CDTF">2019-12-17T10:06:00Z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0x010100B8B10F2557ADB74DB54C8DAF0E6D04BF</vt:lpwstr>
  </property>
</Properties>
</file>